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C3" w:rsidRPr="000F45D2" w:rsidRDefault="000A7AC3" w:rsidP="000F45D2">
      <w:pPr>
        <w:pStyle w:val="a5"/>
        <w:tabs>
          <w:tab w:val="left" w:pos="0"/>
        </w:tabs>
        <w:ind w:firstLine="709"/>
        <w:rPr>
          <w:color w:val="000000" w:themeColor="text1"/>
          <w:szCs w:val="28"/>
        </w:rPr>
      </w:pPr>
      <w:bookmarkStart w:id="0" w:name="_GoBack"/>
      <w:r w:rsidRPr="00BC1FCB">
        <w:rPr>
          <w:color w:val="000000" w:themeColor="text1"/>
          <w:szCs w:val="28"/>
        </w:rPr>
        <w:t>Прокурор</w:t>
      </w:r>
      <w:r w:rsidR="000F45D2">
        <w:rPr>
          <w:color w:val="000000" w:themeColor="text1"/>
          <w:szCs w:val="28"/>
        </w:rPr>
        <w:t>а</w:t>
      </w:r>
      <w:r w:rsidRPr="00BC1FCB">
        <w:rPr>
          <w:color w:val="000000" w:themeColor="text1"/>
          <w:szCs w:val="28"/>
        </w:rPr>
        <w:t xml:space="preserve"> Камско-Устьинского района разъясняет</w:t>
      </w:r>
      <w:bookmarkEnd w:id="0"/>
      <w:r w:rsidR="000F45D2" w:rsidRPr="000F45D2">
        <w:rPr>
          <w:color w:val="000000" w:themeColor="text1"/>
          <w:szCs w:val="28"/>
        </w:rPr>
        <w:t>:</w:t>
      </w:r>
    </w:p>
    <w:p w:rsidR="000F45D2" w:rsidRPr="00BC1FCB" w:rsidRDefault="000F45D2" w:rsidP="000F45D2">
      <w:pPr>
        <w:pStyle w:val="a5"/>
        <w:tabs>
          <w:tab w:val="left" w:pos="0"/>
        </w:tabs>
        <w:ind w:firstLine="709"/>
        <w:rPr>
          <w:color w:val="000000" w:themeColor="text1"/>
          <w:szCs w:val="28"/>
        </w:rPr>
      </w:pPr>
    </w:p>
    <w:p w:rsidR="00500719" w:rsidRDefault="00500719" w:rsidP="00C4724E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</w:r>
      <w:proofErr w:type="gramStart"/>
      <w:r w:rsidR="00E04702">
        <w:rPr>
          <w:szCs w:val="28"/>
        </w:rPr>
        <w:t xml:space="preserve">Постановлением Правительства </w:t>
      </w:r>
      <w:r>
        <w:rPr>
          <w:szCs w:val="28"/>
        </w:rPr>
        <w:t>Российской Федерации от 28.12.2018 №1708 «О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</w:t>
      </w:r>
      <w:r w:rsidR="002008B9">
        <w:rPr>
          <w:szCs w:val="28"/>
        </w:rPr>
        <w:t>»</w:t>
      </w:r>
      <w:r>
        <w:rPr>
          <w:szCs w:val="28"/>
        </w:rPr>
        <w:t xml:space="preserve"> уточняется порядок расчета размера платы за коммунальную услугу по отоплению в жилом или нежилом помещении в многоквартирном доме и формул</w:t>
      </w:r>
      <w:r w:rsidR="003D0E4B">
        <w:rPr>
          <w:szCs w:val="28"/>
        </w:rPr>
        <w:t>а</w:t>
      </w:r>
      <w:r>
        <w:rPr>
          <w:szCs w:val="28"/>
        </w:rPr>
        <w:t xml:space="preserve"> расчета количества потребленной за расчетный</w:t>
      </w:r>
      <w:proofErr w:type="gramEnd"/>
      <w:r>
        <w:rPr>
          <w:szCs w:val="28"/>
        </w:rPr>
        <w:t xml:space="preserve"> период тепловой энергии.</w:t>
      </w:r>
    </w:p>
    <w:p w:rsidR="00500719" w:rsidRDefault="00500719" w:rsidP="00C4724E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  <w:t xml:space="preserve">При расчете будет учитываться общая площадь жилых и нежилых помещений,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теплоснабжения, утвержденной в соответствии с Федеральным законом </w:t>
      </w:r>
      <w:r w:rsidR="00664594">
        <w:rPr>
          <w:szCs w:val="28"/>
        </w:rPr>
        <w:t>«</w:t>
      </w:r>
      <w:r>
        <w:rPr>
          <w:szCs w:val="28"/>
        </w:rPr>
        <w:t>О теплоснабжении</w:t>
      </w:r>
      <w:r w:rsidR="00664594">
        <w:rPr>
          <w:szCs w:val="28"/>
        </w:rPr>
        <w:t>»</w:t>
      </w:r>
      <w:r>
        <w:rPr>
          <w:szCs w:val="28"/>
        </w:rPr>
        <w:t xml:space="preserve"> осуществляется использование индивидуальных квартирных источников тепловой энергии. </w:t>
      </w:r>
    </w:p>
    <w:p w:rsidR="006D4D53" w:rsidRDefault="006D4D53" w:rsidP="00C4724E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  <w:t xml:space="preserve">Если в многоквартирном доме установлен </w:t>
      </w:r>
      <w:r w:rsidR="008169F8">
        <w:rPr>
          <w:szCs w:val="28"/>
        </w:rPr>
        <w:t>коллективный (общедомово</w:t>
      </w:r>
      <w:r w:rsidR="005157CD">
        <w:rPr>
          <w:szCs w:val="28"/>
        </w:rPr>
        <w:t>й</w:t>
      </w:r>
      <w:r w:rsidR="008169F8">
        <w:rPr>
          <w:szCs w:val="28"/>
        </w:rPr>
        <w:t xml:space="preserve">) прибор </w:t>
      </w:r>
      <w:r w:rsidR="00816294">
        <w:rPr>
          <w:szCs w:val="28"/>
        </w:rPr>
        <w:t xml:space="preserve"> </w:t>
      </w:r>
      <w:r w:rsidR="008169F8">
        <w:rPr>
          <w:szCs w:val="28"/>
        </w:rPr>
        <w:t xml:space="preserve">учета </w:t>
      </w:r>
      <w:r w:rsidR="005157CD">
        <w:rPr>
          <w:szCs w:val="28"/>
        </w:rPr>
        <w:t>тепловой энергии, при этом ни од</w:t>
      </w:r>
      <w:r w:rsidR="008169F8">
        <w:rPr>
          <w:szCs w:val="28"/>
        </w:rPr>
        <w:t xml:space="preserve">но помещение не оборудовано индивидуальным или общим (квартирным) счетчиком, размер платы за отопление определяется на </w:t>
      </w:r>
      <w:r w:rsidR="005157CD">
        <w:rPr>
          <w:szCs w:val="28"/>
        </w:rPr>
        <w:t>основании</w:t>
      </w:r>
      <w:r w:rsidR="00816294">
        <w:rPr>
          <w:szCs w:val="28"/>
        </w:rPr>
        <w:t xml:space="preserve"> показаний коллективного (общедомового) прибора. Если же хотя бы одно, но не все помещения оборудованы индивидуальными счетчиками, плата за отопление рассчитывается на основании показаний индивидуального и коллективного приборов учета. </w:t>
      </w:r>
    </w:p>
    <w:p w:rsidR="00500719" w:rsidRDefault="00500719" w:rsidP="008A3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0719" w:rsidRDefault="00500719" w:rsidP="008A3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7BB9" w:rsidRDefault="00277BB9" w:rsidP="008A31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Камско-Устьинского района </w:t>
      </w:r>
    </w:p>
    <w:p w:rsidR="00B662B7" w:rsidRDefault="00500719" w:rsidP="00531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32D71">
        <w:rPr>
          <w:rFonts w:ascii="Times New Roman" w:hAnsi="Times New Roman" w:cs="Times New Roman"/>
          <w:sz w:val="28"/>
          <w:szCs w:val="28"/>
        </w:rPr>
        <w:t xml:space="preserve"> </w:t>
      </w:r>
      <w:r w:rsidR="009141BC">
        <w:rPr>
          <w:rFonts w:ascii="Times New Roman" w:hAnsi="Times New Roman" w:cs="Times New Roman"/>
          <w:sz w:val="28"/>
          <w:szCs w:val="28"/>
        </w:rPr>
        <w:t>января</w:t>
      </w:r>
      <w:r w:rsidR="00532D71">
        <w:rPr>
          <w:rFonts w:ascii="Times New Roman" w:hAnsi="Times New Roman" w:cs="Times New Roman"/>
          <w:sz w:val="28"/>
          <w:szCs w:val="28"/>
        </w:rPr>
        <w:t xml:space="preserve"> 201</w:t>
      </w:r>
      <w:r w:rsidR="009141BC">
        <w:rPr>
          <w:rFonts w:ascii="Times New Roman" w:hAnsi="Times New Roman" w:cs="Times New Roman"/>
          <w:sz w:val="28"/>
          <w:szCs w:val="28"/>
        </w:rPr>
        <w:t>9</w:t>
      </w:r>
      <w:r w:rsidR="00532D71">
        <w:rPr>
          <w:rFonts w:ascii="Times New Roman" w:hAnsi="Times New Roman" w:cs="Times New Roman"/>
          <w:sz w:val="28"/>
          <w:szCs w:val="28"/>
        </w:rPr>
        <w:t xml:space="preserve"> </w:t>
      </w:r>
      <w:r w:rsidR="00531B7C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0C" w:rsidRDefault="000F6E0C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0C" w:rsidRDefault="000F6E0C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7F87" w:rsidRPr="00FC7706" w:rsidRDefault="00FF533A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Шакурова Г.В.</w:t>
      </w:r>
      <w:r w:rsidR="00FC7706" w:rsidRPr="00FC7706">
        <w:rPr>
          <w:rFonts w:ascii="Times New Roman" w:hAnsi="Times New Roman" w:cs="Times New Roman"/>
          <w:sz w:val="20"/>
          <w:szCs w:val="20"/>
        </w:rPr>
        <w:t xml:space="preserve">, 2-12-74  </w:t>
      </w:r>
      <w:r w:rsidR="00277BB9" w:rsidRPr="00FC7706">
        <w:rPr>
          <w:rFonts w:ascii="Times New Roman" w:hAnsi="Times New Roman" w:cs="Times New Roman"/>
          <w:sz w:val="20"/>
          <w:szCs w:val="20"/>
        </w:rPr>
        <w:t xml:space="preserve">    </w:t>
      </w:r>
      <w:r w:rsidR="00E244D8" w:rsidRPr="00FC7706"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E57F87" w:rsidRPr="00FC7706" w:rsidSect="0016722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87"/>
    <w:rsid w:val="00003A8C"/>
    <w:rsid w:val="00025F16"/>
    <w:rsid w:val="00060B39"/>
    <w:rsid w:val="000753EC"/>
    <w:rsid w:val="00081202"/>
    <w:rsid w:val="00092BD3"/>
    <w:rsid w:val="000A14B6"/>
    <w:rsid w:val="000A7AC3"/>
    <w:rsid w:val="000B7364"/>
    <w:rsid w:val="000E5771"/>
    <w:rsid w:val="000F45D2"/>
    <w:rsid w:val="000F6E0C"/>
    <w:rsid w:val="001356E3"/>
    <w:rsid w:val="00146E75"/>
    <w:rsid w:val="00157BCA"/>
    <w:rsid w:val="001602FF"/>
    <w:rsid w:val="00167034"/>
    <w:rsid w:val="00167221"/>
    <w:rsid w:val="00173740"/>
    <w:rsid w:val="001C5CE3"/>
    <w:rsid w:val="001D5FB7"/>
    <w:rsid w:val="001F4529"/>
    <w:rsid w:val="001F602B"/>
    <w:rsid w:val="002008B9"/>
    <w:rsid w:val="0020629F"/>
    <w:rsid w:val="0021685B"/>
    <w:rsid w:val="00260C19"/>
    <w:rsid w:val="00267ACB"/>
    <w:rsid w:val="00277BB9"/>
    <w:rsid w:val="00284B20"/>
    <w:rsid w:val="002940D2"/>
    <w:rsid w:val="002C1FE6"/>
    <w:rsid w:val="00311C55"/>
    <w:rsid w:val="003717C5"/>
    <w:rsid w:val="00375A15"/>
    <w:rsid w:val="003A6084"/>
    <w:rsid w:val="003A68DC"/>
    <w:rsid w:val="003B0E4C"/>
    <w:rsid w:val="003D0E4B"/>
    <w:rsid w:val="003F6646"/>
    <w:rsid w:val="00404D22"/>
    <w:rsid w:val="0041001F"/>
    <w:rsid w:val="00431B87"/>
    <w:rsid w:val="00445956"/>
    <w:rsid w:val="00457467"/>
    <w:rsid w:val="00457C1C"/>
    <w:rsid w:val="004645EA"/>
    <w:rsid w:val="00500719"/>
    <w:rsid w:val="005072F1"/>
    <w:rsid w:val="005157CD"/>
    <w:rsid w:val="00531B7C"/>
    <w:rsid w:val="00532D71"/>
    <w:rsid w:val="00547ACC"/>
    <w:rsid w:val="00561811"/>
    <w:rsid w:val="005862C7"/>
    <w:rsid w:val="00595ADB"/>
    <w:rsid w:val="006336A0"/>
    <w:rsid w:val="00644AB2"/>
    <w:rsid w:val="00653F89"/>
    <w:rsid w:val="00664594"/>
    <w:rsid w:val="00666BC3"/>
    <w:rsid w:val="00674033"/>
    <w:rsid w:val="00683525"/>
    <w:rsid w:val="0068428F"/>
    <w:rsid w:val="006A5115"/>
    <w:rsid w:val="006B2F8C"/>
    <w:rsid w:val="006C6608"/>
    <w:rsid w:val="006D4D53"/>
    <w:rsid w:val="006E2F65"/>
    <w:rsid w:val="006E72E6"/>
    <w:rsid w:val="006F610F"/>
    <w:rsid w:val="007161FB"/>
    <w:rsid w:val="00723EA3"/>
    <w:rsid w:val="00752255"/>
    <w:rsid w:val="00754A65"/>
    <w:rsid w:val="007642A8"/>
    <w:rsid w:val="007A21D7"/>
    <w:rsid w:val="007A73DA"/>
    <w:rsid w:val="007D6207"/>
    <w:rsid w:val="00816294"/>
    <w:rsid w:val="008169F8"/>
    <w:rsid w:val="00817C1F"/>
    <w:rsid w:val="00881FF4"/>
    <w:rsid w:val="00884E7B"/>
    <w:rsid w:val="0088687B"/>
    <w:rsid w:val="00886B57"/>
    <w:rsid w:val="008A31E7"/>
    <w:rsid w:val="008B582C"/>
    <w:rsid w:val="008C260D"/>
    <w:rsid w:val="009141BC"/>
    <w:rsid w:val="0094684F"/>
    <w:rsid w:val="009504DB"/>
    <w:rsid w:val="009549D5"/>
    <w:rsid w:val="009B2EDE"/>
    <w:rsid w:val="009B5F1B"/>
    <w:rsid w:val="009C0A66"/>
    <w:rsid w:val="009F5393"/>
    <w:rsid w:val="00A01215"/>
    <w:rsid w:val="00A068AD"/>
    <w:rsid w:val="00A15625"/>
    <w:rsid w:val="00A22E73"/>
    <w:rsid w:val="00A34BC9"/>
    <w:rsid w:val="00A35966"/>
    <w:rsid w:val="00A4614D"/>
    <w:rsid w:val="00A66DDC"/>
    <w:rsid w:val="00A72CB5"/>
    <w:rsid w:val="00AD20B7"/>
    <w:rsid w:val="00AE6A4E"/>
    <w:rsid w:val="00B135C7"/>
    <w:rsid w:val="00B17093"/>
    <w:rsid w:val="00B516D7"/>
    <w:rsid w:val="00B6411C"/>
    <w:rsid w:val="00B662B7"/>
    <w:rsid w:val="00B86A66"/>
    <w:rsid w:val="00B87F5C"/>
    <w:rsid w:val="00B93BDD"/>
    <w:rsid w:val="00B95446"/>
    <w:rsid w:val="00BB16BA"/>
    <w:rsid w:val="00BC1FCB"/>
    <w:rsid w:val="00BC7278"/>
    <w:rsid w:val="00BF3A9C"/>
    <w:rsid w:val="00C16AB1"/>
    <w:rsid w:val="00C37484"/>
    <w:rsid w:val="00C4485F"/>
    <w:rsid w:val="00C4724E"/>
    <w:rsid w:val="00CA453F"/>
    <w:rsid w:val="00CD1445"/>
    <w:rsid w:val="00CD2A04"/>
    <w:rsid w:val="00D06CAD"/>
    <w:rsid w:val="00D50151"/>
    <w:rsid w:val="00D5168E"/>
    <w:rsid w:val="00D60FD6"/>
    <w:rsid w:val="00D96FC6"/>
    <w:rsid w:val="00DA1ABF"/>
    <w:rsid w:val="00DC2E7B"/>
    <w:rsid w:val="00DD11A4"/>
    <w:rsid w:val="00DE523E"/>
    <w:rsid w:val="00E04702"/>
    <w:rsid w:val="00E07EFE"/>
    <w:rsid w:val="00E244D8"/>
    <w:rsid w:val="00E574BC"/>
    <w:rsid w:val="00E57F87"/>
    <w:rsid w:val="00E612AB"/>
    <w:rsid w:val="00EB73F5"/>
    <w:rsid w:val="00EE4502"/>
    <w:rsid w:val="00EF6911"/>
    <w:rsid w:val="00F16A72"/>
    <w:rsid w:val="00F172D9"/>
    <w:rsid w:val="00F33C67"/>
    <w:rsid w:val="00F44736"/>
    <w:rsid w:val="00F5445A"/>
    <w:rsid w:val="00F82449"/>
    <w:rsid w:val="00F86056"/>
    <w:rsid w:val="00FA045F"/>
    <w:rsid w:val="00FA2E1C"/>
    <w:rsid w:val="00FC7706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A22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574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75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81202"/>
  </w:style>
  <w:style w:type="character" w:customStyle="1" w:styleId="hl">
    <w:name w:val="hl"/>
    <w:basedOn w:val="a0"/>
    <w:rsid w:val="00081202"/>
  </w:style>
  <w:style w:type="character" w:customStyle="1" w:styleId="apple-converted-space">
    <w:name w:val="apple-converted-space"/>
    <w:basedOn w:val="a0"/>
    <w:rsid w:val="00081202"/>
  </w:style>
  <w:style w:type="character" w:customStyle="1" w:styleId="nobr">
    <w:name w:val="nobr"/>
    <w:basedOn w:val="a0"/>
    <w:rsid w:val="00081202"/>
  </w:style>
  <w:style w:type="character" w:styleId="a9">
    <w:name w:val="Hyperlink"/>
    <w:basedOn w:val="a0"/>
    <w:uiPriority w:val="99"/>
    <w:semiHidden/>
    <w:unhideWhenUsed/>
    <w:rsid w:val="000812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A22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574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75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81202"/>
  </w:style>
  <w:style w:type="character" w:customStyle="1" w:styleId="hl">
    <w:name w:val="hl"/>
    <w:basedOn w:val="a0"/>
    <w:rsid w:val="00081202"/>
  </w:style>
  <w:style w:type="character" w:customStyle="1" w:styleId="apple-converted-space">
    <w:name w:val="apple-converted-space"/>
    <w:basedOn w:val="a0"/>
    <w:rsid w:val="00081202"/>
  </w:style>
  <w:style w:type="character" w:customStyle="1" w:styleId="nobr">
    <w:name w:val="nobr"/>
    <w:basedOn w:val="a0"/>
    <w:rsid w:val="00081202"/>
  </w:style>
  <w:style w:type="character" w:styleId="a9">
    <w:name w:val="Hyperlink"/>
    <w:basedOn w:val="a0"/>
    <w:uiPriority w:val="99"/>
    <w:semiHidden/>
    <w:unhideWhenUsed/>
    <w:rsid w:val="00081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895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301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5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6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2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2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81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4480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1C90C-9998-4C3C-9CFA-A89C049B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PrmAdm</cp:lastModifiedBy>
  <cp:revision>2</cp:revision>
  <cp:lastPrinted>2019-01-30T08:20:00Z</cp:lastPrinted>
  <dcterms:created xsi:type="dcterms:W3CDTF">2019-01-30T12:49:00Z</dcterms:created>
  <dcterms:modified xsi:type="dcterms:W3CDTF">2019-01-30T12:49:00Z</dcterms:modified>
</cp:coreProperties>
</file>