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3A" w:rsidRPr="002A4708" w:rsidRDefault="00411B3A" w:rsidP="002A470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r w:rsidRPr="002A47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Начался эксперимент по введению специального налогового режима для </w:t>
      </w:r>
      <w:proofErr w:type="spellStart"/>
      <w:r w:rsidRPr="002A470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самозанятых</w:t>
      </w:r>
      <w:proofErr w:type="spellEnd"/>
    </w:p>
    <w:p w:rsidR="00411B3A" w:rsidRP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С 1 января 2019 года в Москве, Московской и Калужской областях и Республике Татарстан начался эксперимент по введению специального налогового режима «Налог на профессиональный доход». Налоговый режим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администрируется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в автоматическом режиме с помощью мобильного приложения или Личного кабинета «</w:t>
      </w:r>
      <w:hyperlink r:id="rId6" w:tgtFrame="_blank" w:history="1">
        <w:r w:rsidRPr="00411B3A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Мой налог</w:t>
        </w:r>
      </w:hyperlink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». При этом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самозанятому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не нужно сдавать отчетность и платить фиксированные страховые взносы.</w:t>
      </w:r>
    </w:p>
    <w:p w:rsidR="00411B3A" w:rsidRP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Стать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самозанятыми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могут физические лица, которые оказывают услуги или продают товары без наемных работников и зарабатывают на этом до 2,4 </w:t>
      </w:r>
      <w:proofErr w:type="gram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млн</w:t>
      </w:r>
      <w:proofErr w:type="gram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рублей в год. Новый режим предусматривает две налоговые ставки: 4% - при оказании услуг и продаже физическим лицам и 6% - юридическим лицам и ИП. При этом в эти ставки уже включены отчисления в Фонд обязательного медицинского страхования. На время эксперимента до конца 2028 года ставки увеличены не будут.</w:t>
      </w:r>
    </w:p>
    <w:p w:rsidR="000347AE" w:rsidRPr="002A4708" w:rsidRDefault="000347AE" w:rsidP="002A470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Способы регистрации:</w:t>
      </w:r>
    </w:p>
    <w:p w:rsidR="000347AE" w:rsidRPr="002A4708" w:rsidRDefault="000347AE" w:rsidP="002A470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Бесплатное мобильное приложение «Мой налог»</w:t>
      </w:r>
    </w:p>
    <w:p w:rsidR="000347AE" w:rsidRPr="002A4708" w:rsidRDefault="000347AE" w:rsidP="002A470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Кабинет налогоплательщика «Налога на профессиональный доход» на сайте ФНС России</w:t>
      </w:r>
    </w:p>
    <w:p w:rsidR="000347AE" w:rsidRPr="002A4708" w:rsidRDefault="000347AE" w:rsidP="002A470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Уполномоченные банки</w:t>
      </w:r>
    </w:p>
    <w:p w:rsid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Для регистрации в качестве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самозанятого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</w:t>
      </w:r>
      <w:r w:rsidR="000347A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через мобильное приложение </w:t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необходимо скачать «Мой налог», которое уже доступно в 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begin"/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instrText xml:space="preserve"> HYPERLINK "https://play.google.com/store/apps/details?id=com.gnivts.selfemployed&amp;hl=ru" \t "_blank" </w:instrText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separate"/>
      </w:r>
      <w:r w:rsidRPr="00411B3A">
        <w:rPr>
          <w:rFonts w:ascii="Arial" w:eastAsia="Times New Roman" w:hAnsi="Arial" w:cs="Arial"/>
          <w:color w:val="0066B3"/>
          <w:sz w:val="24"/>
          <w:szCs w:val="24"/>
          <w:lang w:eastAsia="ru-RU"/>
        </w:rPr>
        <w:t>GooglePlay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end"/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и 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begin"/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instrText xml:space="preserve"> HYPERLINK "https://itunes.apple.com/ru/app/%D0%BC%D0%BE%D0%B9-%D0%BD%D0%B0%D0%BB%D0%BE%D0%B3/id1437518854?l=en&amp;mt=8" \t "_blank" </w:instrText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separate"/>
      </w:r>
      <w:r w:rsidRPr="00411B3A">
        <w:rPr>
          <w:rFonts w:ascii="Arial" w:eastAsia="Times New Roman" w:hAnsi="Arial" w:cs="Arial"/>
          <w:color w:val="0066B3"/>
          <w:sz w:val="24"/>
          <w:szCs w:val="24"/>
          <w:lang w:eastAsia="ru-RU"/>
        </w:rPr>
        <w:t>App</w:t>
      </w:r>
      <w:proofErr w:type="spellEnd"/>
      <w:r w:rsidRPr="00411B3A">
        <w:rPr>
          <w:rFonts w:ascii="Arial" w:eastAsia="Times New Roman" w:hAnsi="Arial" w:cs="Arial"/>
          <w:color w:val="0066B3"/>
          <w:sz w:val="24"/>
          <w:szCs w:val="24"/>
          <w:lang w:eastAsia="ru-RU"/>
        </w:rPr>
        <w:t xml:space="preserve"> </w:t>
      </w:r>
      <w:proofErr w:type="spellStart"/>
      <w:r w:rsidRPr="00411B3A">
        <w:rPr>
          <w:rFonts w:ascii="Arial" w:eastAsia="Times New Roman" w:hAnsi="Arial" w:cs="Arial"/>
          <w:color w:val="0066B3"/>
          <w:sz w:val="24"/>
          <w:szCs w:val="24"/>
          <w:lang w:eastAsia="ru-RU"/>
        </w:rPr>
        <w:t>Store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fldChar w:fldCharType="end"/>
      </w: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 Пользователи Личного кабинета налогоплательщика – физического лица могут войти в приложение с помощью ИНН и пароля от Личного кабинета, затем необходимо подтвердить номер мобильного телефона и выбрать регион своей деятельности. ФНС России рекомендует воспользоваться регистрацией в приложении «Мой налог» с помощью ИНН и пароля от Личного кабинета налогоплательщика-физического лица. Чтобы стать пользователем ЛК, достаточно обратиться в любую налоговую инспекцию и за 15 минут получить учетную запись.</w:t>
      </w:r>
    </w:p>
    <w:p w:rsidR="000347AE" w:rsidRPr="00411B3A" w:rsidRDefault="000347AE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Если доступ в Личный кабинет </w:t>
      </w:r>
      <w:proofErr w:type="gram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отсутствует</w:t>
      </w:r>
      <w:proofErr w:type="gram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и налогоплательщик не планирует его получать, то принять участие в эксперименте можно по упрощенной схеме: достаточно с помощью мобильного приложения отсканировать свой паспорт и сделать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селфи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0347AE" w:rsidRDefault="000347AE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Для регистрации через компьютер на сайте ФНС России открыт «Личный кабинет для плательщиков налога на профессиональный доход (</w:t>
      </w:r>
      <w:proofErr w:type="spellStart"/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самозанятых</w:t>
      </w:r>
      <w:proofErr w:type="spellEnd"/>
      <w:r w:rsidRPr="002A4708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)».</w:t>
      </w:r>
    </w:p>
    <w:p w:rsidR="00411B3A" w:rsidRP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Участники этого налогового режима освобождаются от подачи налоговой декларации, применения касс, а за операции, облагаемые налогом на профессиональный доход, не нужно платить НДС и НДФЛ. Общение с налоговыми органами происходит дистанционно. Приложение автоматически сформирует чеки для клиентов, а информация о продажах в режиме онлайн поступит в налоговый орган. По итогам месяца налогоплательщику на его мобильное приложение придет информация о сумме налога, которую при его согласии спишут с банковского счета или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самозанятый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оплатит самостоятельно.</w:t>
      </w:r>
    </w:p>
    <w:p w:rsidR="00411B3A" w:rsidRP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Участники эксперимента имеют право на налоговый вычет 10 тысяч рублей, который можно использовать для уменьшения налога. При разработке этого налогового режима ФНС России провела опрос среди потенциальных </w:t>
      </w:r>
      <w:proofErr w:type="spell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самозанятых</w:t>
      </w:r>
      <w:proofErr w:type="spellEnd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 По его итогам были учтены все пожелания респондентов: встать на учет можно без посещения налоговой, не нужно сдавать отчетность и платить обязательные страховые взносы, пониженная налоговая ставка.</w:t>
      </w:r>
    </w:p>
    <w:p w:rsidR="00411B3A" w:rsidRPr="00411B3A" w:rsidRDefault="00411B3A" w:rsidP="002A47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lastRenderedPageBreak/>
        <w:t>Эксперимент по установлению специального налогового режима проводится в соответствии с </w:t>
      </w:r>
      <w:hyperlink r:id="rId7" w:tgtFrame="_blank" w:history="1">
        <w:r w:rsidRPr="00411B3A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Федеральным законом от 27.11.2018 № 422-ФЗ</w:t>
        </w:r>
      </w:hyperlink>
      <w:r w:rsidRPr="00411B3A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(Татарстан)».</w:t>
      </w:r>
      <w:proofErr w:type="gramEnd"/>
    </w:p>
    <w:p w:rsidR="002A4708" w:rsidRDefault="002A4708" w:rsidP="002A470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Создан </w:t>
      </w:r>
      <w:hyperlink r:id="rId8" w:tgtFrame="_blank" w:history="1">
        <w:r>
          <w:rPr>
            <w:rStyle w:val="a4"/>
            <w:rFonts w:ascii="Arial" w:hAnsi="Arial" w:cs="Arial"/>
            <w:color w:val="0066B3"/>
            <w:u w:val="none"/>
          </w:rPr>
          <w:t>специальный сайт</w:t>
        </w:r>
      </w:hyperlink>
      <w:r>
        <w:rPr>
          <w:rStyle w:val="a4"/>
          <w:rFonts w:ascii="Arial" w:hAnsi="Arial" w:cs="Arial"/>
          <w:color w:val="0066B3"/>
          <w:u w:val="none"/>
        </w:rPr>
        <w:t xml:space="preserve"> (</w:t>
      </w:r>
      <w:r>
        <w:rPr>
          <w:rStyle w:val="a4"/>
          <w:rFonts w:ascii="Arial" w:hAnsi="Arial" w:cs="Arial"/>
          <w:color w:val="0066B3"/>
          <w:u w:val="none"/>
          <w:lang w:val="en-US"/>
        </w:rPr>
        <w:t>https</w:t>
      </w:r>
      <w:r>
        <w:rPr>
          <w:rStyle w:val="a4"/>
          <w:rFonts w:ascii="Arial" w:hAnsi="Arial" w:cs="Arial"/>
          <w:color w:val="0066B3"/>
          <w:u w:val="none"/>
        </w:rPr>
        <w:t>:</w:t>
      </w:r>
      <w:r w:rsidRPr="002A4708">
        <w:rPr>
          <w:rStyle w:val="a4"/>
          <w:rFonts w:ascii="Arial" w:hAnsi="Arial" w:cs="Arial"/>
          <w:color w:val="0066B3"/>
          <w:u w:val="none"/>
        </w:rPr>
        <w:t>//</w:t>
      </w:r>
      <w:r>
        <w:rPr>
          <w:rStyle w:val="a4"/>
          <w:rFonts w:ascii="Arial" w:hAnsi="Arial" w:cs="Arial"/>
          <w:color w:val="0066B3"/>
          <w:u w:val="none"/>
          <w:lang w:val="en-US"/>
        </w:rPr>
        <w:t>npd</w:t>
      </w:r>
      <w:r w:rsidRPr="002A4708">
        <w:rPr>
          <w:rStyle w:val="a4"/>
          <w:rFonts w:ascii="Arial" w:hAnsi="Arial" w:cs="Arial"/>
          <w:color w:val="0066B3"/>
          <w:u w:val="none"/>
        </w:rPr>
        <w:t>.</w:t>
      </w:r>
      <w:r>
        <w:rPr>
          <w:rStyle w:val="a4"/>
          <w:rFonts w:ascii="Arial" w:hAnsi="Arial" w:cs="Arial"/>
          <w:color w:val="0066B3"/>
          <w:u w:val="none"/>
          <w:lang w:val="en-US"/>
        </w:rPr>
        <w:t>nalog</w:t>
      </w:r>
      <w:r w:rsidRPr="002A4708">
        <w:rPr>
          <w:rStyle w:val="a4"/>
          <w:rFonts w:ascii="Arial" w:hAnsi="Arial" w:cs="Arial"/>
          <w:color w:val="0066B3"/>
          <w:u w:val="none"/>
        </w:rPr>
        <w:t>.</w:t>
      </w:r>
      <w:r>
        <w:rPr>
          <w:rStyle w:val="a4"/>
          <w:rFonts w:ascii="Arial" w:hAnsi="Arial" w:cs="Arial"/>
          <w:color w:val="0066B3"/>
          <w:u w:val="none"/>
          <w:lang w:val="en-US"/>
        </w:rPr>
        <w:t>ru</w:t>
      </w:r>
      <w:r w:rsidRPr="002A4708">
        <w:rPr>
          <w:rStyle w:val="a4"/>
          <w:rFonts w:ascii="Arial" w:hAnsi="Arial" w:cs="Arial"/>
          <w:color w:val="0066B3"/>
          <w:u w:val="none"/>
        </w:rPr>
        <w:t>/)</w:t>
      </w:r>
      <w:bookmarkStart w:id="0" w:name="_GoBack"/>
      <w:bookmarkEnd w:id="0"/>
      <w:r>
        <w:rPr>
          <w:rFonts w:ascii="Arial" w:hAnsi="Arial" w:cs="Arial"/>
          <w:color w:val="405965"/>
        </w:rPr>
        <w:t>, где можно подробно прочитать о новом налоговом режиме, его особенностях, а также получить ответы на вопросы.</w:t>
      </w:r>
    </w:p>
    <w:p w:rsidR="009C0E43" w:rsidRDefault="009C0E43"/>
    <w:p w:rsidR="00D52181" w:rsidRDefault="00D52181"/>
    <w:p w:rsidR="00F36295" w:rsidRDefault="00F36295"/>
    <w:p w:rsidR="00D52181" w:rsidRDefault="00D52181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p w:rsidR="00F36295" w:rsidRDefault="00F36295"/>
    <w:sectPr w:rsidR="00F3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78C"/>
    <w:multiLevelType w:val="multilevel"/>
    <w:tmpl w:val="C17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E6EDD"/>
    <w:multiLevelType w:val="multilevel"/>
    <w:tmpl w:val="EC16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84E99"/>
    <w:multiLevelType w:val="multilevel"/>
    <w:tmpl w:val="128C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93191"/>
    <w:multiLevelType w:val="multilevel"/>
    <w:tmpl w:val="A406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B75A3"/>
    <w:multiLevelType w:val="multilevel"/>
    <w:tmpl w:val="971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85"/>
    <w:rsid w:val="000347AE"/>
    <w:rsid w:val="00285D1E"/>
    <w:rsid w:val="002A4708"/>
    <w:rsid w:val="00411B3A"/>
    <w:rsid w:val="009C0E43"/>
    <w:rsid w:val="00A930A6"/>
    <w:rsid w:val="00C24685"/>
    <w:rsid w:val="00D52181"/>
    <w:rsid w:val="00F3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181"/>
    <w:rPr>
      <w:color w:val="0000FF"/>
      <w:u w:val="single"/>
    </w:rPr>
  </w:style>
  <w:style w:type="character" w:styleId="a5">
    <w:name w:val="Strong"/>
    <w:basedOn w:val="a0"/>
    <w:uiPriority w:val="22"/>
    <w:qFormat/>
    <w:rsid w:val="00D521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2181"/>
    <w:rPr>
      <w:color w:val="0000FF"/>
      <w:u w:val="single"/>
    </w:rPr>
  </w:style>
  <w:style w:type="character" w:styleId="a5">
    <w:name w:val="Strong"/>
    <w:basedOn w:val="a0"/>
    <w:uiPriority w:val="22"/>
    <w:qFormat/>
    <w:rsid w:val="00D521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5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1140">
                  <w:marLeft w:val="0"/>
                  <w:marRight w:val="684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2682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6287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64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3905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9046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658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756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5480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050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061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6992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1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003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68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78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90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639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7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5865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6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375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2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9782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5969">
                  <w:marLeft w:val="0"/>
                  <w:marRight w:val="684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6255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302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087619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26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61281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581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19907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01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93081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784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88938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32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4482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4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615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01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25842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298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single" w:sz="48" w:space="15" w:color="0066B3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6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2527">
                  <w:marLeft w:val="0"/>
                  <w:marRight w:val="684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44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3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7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06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9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864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92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098">
                  <w:marLeft w:val="0"/>
                  <w:marRight w:val="684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0061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7611">
                      <w:marLeft w:val="0"/>
                      <w:marRight w:val="506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6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1811270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npd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Демидова Лейсан Равилевна</cp:lastModifiedBy>
  <cp:revision>10</cp:revision>
  <cp:lastPrinted>2019-01-31T16:48:00Z</cp:lastPrinted>
  <dcterms:created xsi:type="dcterms:W3CDTF">2019-01-19T06:44:00Z</dcterms:created>
  <dcterms:modified xsi:type="dcterms:W3CDTF">2019-01-31T16:48:00Z</dcterms:modified>
</cp:coreProperties>
</file>