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F" w:rsidRPr="001240CF" w:rsidRDefault="00D471AE" w:rsidP="001240C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 xml:space="preserve">об осуществлении </w:t>
      </w:r>
      <w:r w:rsidR="00D46F95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  <w:r w:rsidRPr="001240CF">
        <w:rPr>
          <w:rFonts w:ascii="Times New Roman" w:hAnsi="Times New Roman" w:cs="Times New Roman"/>
          <w:b/>
          <w:sz w:val="24"/>
          <w:szCs w:val="24"/>
        </w:rPr>
        <w:t xml:space="preserve"> и об эффективности</w:t>
      </w:r>
    </w:p>
    <w:p w:rsidR="001240CF" w:rsidRPr="001240CF" w:rsidRDefault="001240CF" w:rsidP="001240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0CF">
        <w:rPr>
          <w:rFonts w:ascii="Times New Roman" w:hAnsi="Times New Roman" w:cs="Times New Roman"/>
          <w:b/>
          <w:sz w:val="24"/>
          <w:szCs w:val="24"/>
        </w:rPr>
        <w:t xml:space="preserve">такого контроля </w:t>
      </w:r>
      <w:r w:rsidR="000B027E">
        <w:rPr>
          <w:rFonts w:ascii="Times New Roman" w:hAnsi="Times New Roman" w:cs="Times New Roman"/>
          <w:b/>
          <w:sz w:val="24"/>
          <w:szCs w:val="24"/>
        </w:rPr>
        <w:t>в Камско-Устьинском</w:t>
      </w:r>
      <w:r w:rsidR="00D46F95"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 Республики Татарстан за 20</w:t>
      </w:r>
      <w:r w:rsidR="000F20BD">
        <w:rPr>
          <w:rFonts w:ascii="Times New Roman" w:hAnsi="Times New Roman" w:cs="Times New Roman"/>
          <w:b/>
          <w:sz w:val="24"/>
          <w:szCs w:val="24"/>
        </w:rPr>
        <w:t>20</w:t>
      </w:r>
      <w:r w:rsidR="00D46F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240CF" w:rsidRPr="001240CF" w:rsidRDefault="001240CF" w:rsidP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1240CF" w:rsidRDefault="001240CF" w:rsidP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0B0B" w:rsidRDefault="00715FE7" w:rsidP="00730B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 органа  </w:t>
      </w:r>
      <w:r w:rsidR="00CB7B63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  Республики Татарстан, подготовившего доклад: </w:t>
      </w:r>
    </w:p>
    <w:p w:rsidR="001240CF" w:rsidRPr="001240CF" w:rsidRDefault="007B5105" w:rsidP="00730B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Исполнительный комитет Камско-Устьинского</w:t>
      </w:r>
      <w:r w:rsidR="00730B0B" w:rsidRPr="00730B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730B0B" w:rsidRPr="00730B0B">
        <w:rPr>
          <w:rFonts w:ascii="Times New Roman" w:hAnsi="Times New Roman" w:cs="Times New Roman"/>
          <w:sz w:val="24"/>
          <w:szCs w:val="24"/>
          <w:u w:val="single"/>
        </w:rPr>
        <w:t>муниципального</w:t>
      </w:r>
      <w:proofErr w:type="gramEnd"/>
      <w:r w:rsidR="00730B0B" w:rsidRPr="00730B0B">
        <w:rPr>
          <w:rFonts w:ascii="Times New Roman" w:hAnsi="Times New Roman" w:cs="Times New Roman"/>
          <w:sz w:val="24"/>
          <w:szCs w:val="24"/>
          <w:u w:val="single"/>
        </w:rPr>
        <w:t xml:space="preserve"> района Республики Татарстан</w:t>
      </w:r>
    </w:p>
    <w:p w:rsidR="00730B0B" w:rsidRDefault="00CB7B63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осуществляемого муниципального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 контроля</w:t>
      </w:r>
      <w:proofErr w:type="gramStart"/>
      <w:r w:rsidR="001240CF" w:rsidRPr="001240CF">
        <w:rPr>
          <w:rFonts w:ascii="Times New Roman" w:hAnsi="Times New Roman" w:cs="Times New Roman"/>
          <w:sz w:val="24"/>
          <w:szCs w:val="24"/>
        </w:rPr>
        <w:t xml:space="preserve"> </w:t>
      </w:r>
      <w:r w:rsidR="00715FE7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  <w:r w:rsidR="00715F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0B0B" w:rsidRPr="00730B0B">
        <w:rPr>
          <w:rFonts w:ascii="Times New Roman" w:hAnsi="Times New Roman" w:cs="Times New Roman"/>
          <w:sz w:val="24"/>
          <w:szCs w:val="24"/>
          <w:u w:val="single"/>
        </w:rPr>
        <w:t>Муниципальный жилищный контроль</w:t>
      </w:r>
      <w:r w:rsidR="00730B0B" w:rsidRPr="00730B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0CF" w:rsidRPr="001240CF" w:rsidRDefault="00CB7B63" w:rsidP="001240C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муниципального</w:t>
      </w:r>
      <w:r w:rsidR="00715FE7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1240CF" w:rsidRPr="001240CF">
        <w:rPr>
          <w:rFonts w:ascii="Times New Roman" w:hAnsi="Times New Roman" w:cs="Times New Roman"/>
          <w:sz w:val="24"/>
          <w:szCs w:val="24"/>
        </w:rPr>
        <w:t xml:space="preserve">: </w:t>
      </w:r>
      <w:r w:rsidR="003D137F" w:rsidRPr="003D137F">
        <w:rPr>
          <w:rFonts w:ascii="Times New Roman" w:hAnsi="Times New Roman" w:cs="Times New Roman"/>
          <w:sz w:val="24"/>
          <w:szCs w:val="24"/>
        </w:rPr>
        <w:t>Муниципальный жилищный контроль, осуществляемый в рамках полномочий Ис</w:t>
      </w:r>
      <w:r w:rsidR="007B5105">
        <w:rPr>
          <w:rFonts w:ascii="Times New Roman" w:hAnsi="Times New Roman" w:cs="Times New Roman"/>
          <w:sz w:val="24"/>
          <w:szCs w:val="24"/>
        </w:rPr>
        <w:t>полнительного комитета Камско-Устьинского</w:t>
      </w:r>
      <w:r w:rsidR="003D137F" w:rsidRPr="003D137F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 </w:t>
      </w:r>
    </w:p>
    <w:p w:rsidR="005D5F28" w:rsidRPr="00BD2051" w:rsidRDefault="001240CF" w:rsidP="005D5F28">
      <w:pPr>
        <w:pStyle w:val="western"/>
        <w:spacing w:before="0" w:beforeAutospacing="0" w:after="0" w:afterAutospacing="0"/>
        <w:ind w:right="113" w:firstLine="714"/>
        <w:jc w:val="both"/>
        <w:rPr>
          <w:color w:val="000000" w:themeColor="text1"/>
        </w:rPr>
      </w:pPr>
      <w:r w:rsidRPr="001240CF">
        <w:rPr>
          <w:sz w:val="24"/>
          <w:szCs w:val="24"/>
        </w:rPr>
        <w:t>Наименования нормативных  п</w:t>
      </w:r>
      <w:r w:rsidR="003B3BCF">
        <w:rPr>
          <w:sz w:val="24"/>
          <w:szCs w:val="24"/>
        </w:rPr>
        <w:t>равовых  актов, уполномочивающий</w:t>
      </w:r>
      <w:r w:rsidRPr="001240CF">
        <w:rPr>
          <w:sz w:val="24"/>
          <w:szCs w:val="24"/>
        </w:rPr>
        <w:t xml:space="preserve">  </w:t>
      </w:r>
      <w:r w:rsidR="00AA4FBA" w:rsidRPr="00715FE7">
        <w:rPr>
          <w:sz w:val="24"/>
          <w:szCs w:val="24"/>
        </w:rPr>
        <w:t xml:space="preserve"> </w:t>
      </w:r>
      <w:r w:rsidR="00715FE7" w:rsidRPr="00715FE7">
        <w:rPr>
          <w:sz w:val="24"/>
          <w:szCs w:val="24"/>
        </w:rPr>
        <w:t xml:space="preserve">орган   </w:t>
      </w:r>
      <w:r w:rsidR="00715FE7">
        <w:rPr>
          <w:sz w:val="24"/>
          <w:szCs w:val="24"/>
        </w:rPr>
        <w:t>местного самоуправления</w:t>
      </w:r>
      <w:r w:rsidRPr="001240CF">
        <w:rPr>
          <w:sz w:val="24"/>
          <w:szCs w:val="24"/>
        </w:rPr>
        <w:t xml:space="preserve">   Республики  Татарстан  на  осуществление</w:t>
      </w:r>
      <w:r w:rsidR="00AA4FBA">
        <w:rPr>
          <w:sz w:val="24"/>
          <w:szCs w:val="24"/>
        </w:rPr>
        <w:t xml:space="preserve"> </w:t>
      </w:r>
      <w:r w:rsidR="00CB7B63">
        <w:rPr>
          <w:sz w:val="24"/>
          <w:szCs w:val="24"/>
        </w:rPr>
        <w:t>муниципального</w:t>
      </w:r>
      <w:r w:rsidR="00715FE7">
        <w:rPr>
          <w:sz w:val="24"/>
          <w:szCs w:val="24"/>
        </w:rPr>
        <w:t xml:space="preserve"> контроля: </w:t>
      </w:r>
      <w:proofErr w:type="gramStart"/>
      <w:r w:rsidR="003D137F" w:rsidRPr="003D137F">
        <w:rPr>
          <w:bCs/>
          <w:sz w:val="24"/>
          <w:szCs w:val="24"/>
        </w:rPr>
        <w:t>Жилищный кодекс РФ</w:t>
      </w:r>
      <w:r w:rsidR="003D137F" w:rsidRPr="003D137F">
        <w:rPr>
          <w:sz w:val="24"/>
          <w:szCs w:val="24"/>
        </w:rPr>
        <w:t xml:space="preserve">, Федеральный закон от 06.10.2003 г. № 131-ФЗ «Об общих принципах организации местного самоуправления Российской Федерации», </w:t>
      </w:r>
      <w:r w:rsidR="005D5F28" w:rsidRPr="00BD2051">
        <w:rPr>
          <w:color w:val="000000" w:themeColor="text1"/>
        </w:rPr>
        <w:t>Федеральный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r w:rsidR="004A407B" w:rsidRPr="004A407B">
        <w:rPr>
          <w:sz w:val="24"/>
          <w:szCs w:val="24"/>
          <w:u w:val="single"/>
        </w:rPr>
        <w:t xml:space="preserve"> </w:t>
      </w:r>
      <w:r w:rsidR="004A407B">
        <w:rPr>
          <w:sz w:val="24"/>
          <w:szCs w:val="24"/>
          <w:u w:val="single"/>
        </w:rPr>
        <w:t>закон РТ от 10.10.2011 г. № 72-ЗРТ "Об обеспечении защиты жилищных прав граждан"</w:t>
      </w:r>
      <w:proofErr w:type="gramEnd"/>
    </w:p>
    <w:p w:rsidR="003D137F" w:rsidRPr="003D137F" w:rsidRDefault="003D137F" w:rsidP="003D13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290"/>
        <w:gridCol w:w="215"/>
        <w:gridCol w:w="993"/>
        <w:gridCol w:w="1275"/>
        <w:gridCol w:w="851"/>
        <w:gridCol w:w="1278"/>
        <w:gridCol w:w="1273"/>
        <w:gridCol w:w="851"/>
        <w:gridCol w:w="1276"/>
        <w:gridCol w:w="1275"/>
        <w:gridCol w:w="1276"/>
      </w:tblGrid>
      <w:tr w:rsidR="001240CF" w:rsidRPr="001240CF" w:rsidTr="00A8782E">
        <w:tc>
          <w:tcPr>
            <w:tcW w:w="15513" w:type="dxa"/>
            <w:gridSpan w:val="12"/>
          </w:tcPr>
          <w:p w:rsidR="001240CF" w:rsidRPr="001240CF" w:rsidRDefault="001240CF" w:rsidP="00A8782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I. Состояние нормативно-правового регулирования в соответствующей сфере деятельности</w:t>
            </w:r>
          </w:p>
        </w:tc>
      </w:tr>
      <w:tr w:rsidR="001240CF" w:rsidRPr="001240CF" w:rsidTr="00A8782E">
        <w:tc>
          <w:tcPr>
            <w:tcW w:w="5165" w:type="dxa"/>
            <w:gridSpan w:val="3"/>
          </w:tcPr>
          <w:p w:rsidR="001240CF" w:rsidRPr="001240CF" w:rsidRDefault="001240CF" w:rsidP="00715F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нормативного правового акта, устанавливающего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3119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Возможность исполнения и контроля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spell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коррупциогенности</w:t>
            </w:r>
            <w:proofErr w:type="spellEnd"/>
          </w:p>
        </w:tc>
        <w:tc>
          <w:tcPr>
            <w:tcW w:w="3827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Опубликование в свободном доступе на официальном сайте в сети "Интернет"</w:t>
            </w:r>
          </w:p>
        </w:tc>
      </w:tr>
      <w:tr w:rsidR="001240CF" w:rsidRPr="001240CF" w:rsidTr="00A8782E">
        <w:tc>
          <w:tcPr>
            <w:tcW w:w="5165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gridSpan w:val="3"/>
          </w:tcPr>
          <w:p w:rsidR="001240CF" w:rsidRPr="001240CF" w:rsidRDefault="001240C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137F" w:rsidRPr="001240CF" w:rsidTr="00A8782E">
        <w:tc>
          <w:tcPr>
            <w:tcW w:w="5165" w:type="dxa"/>
            <w:gridSpan w:val="3"/>
          </w:tcPr>
          <w:p w:rsidR="003D137F" w:rsidRPr="003D137F" w:rsidRDefault="0014435E" w:rsidP="00CB7B63">
            <w:pPr>
              <w:spacing w:before="17" w:after="119"/>
              <w:ind w:left="79"/>
              <w:jc w:val="center"/>
              <w:rPr>
                <w:rFonts w:ascii="Times New Roman" w:hAnsi="Times New Roman" w:cs="Times New Roman"/>
                <w:color w:val="181818"/>
              </w:rPr>
            </w:pPr>
            <w:r w:rsidRPr="00CD1200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Российской Федерации от 29.12.2004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1200">
              <w:rPr>
                <w:rFonts w:ascii="Times New Roman" w:hAnsi="Times New Roman" w:cs="Times New Roman"/>
                <w:sz w:val="24"/>
                <w:szCs w:val="24"/>
              </w:rPr>
              <w:t xml:space="preserve"> 188-ФЗ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1200">
              <w:rPr>
                <w:rFonts w:ascii="Times New Roman" w:hAnsi="Times New Roman" w:cs="Times New Roman"/>
                <w:sz w:val="24"/>
                <w:szCs w:val="24"/>
              </w:rPr>
              <w:t xml:space="preserve">Закон РТ от 10.10.2011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D1200">
              <w:rPr>
                <w:rFonts w:ascii="Times New Roman" w:hAnsi="Times New Roman" w:cs="Times New Roman"/>
                <w:sz w:val="24"/>
                <w:szCs w:val="24"/>
              </w:rPr>
              <w:t xml:space="preserve"> 72-ЗРТ "Об обеспечении защиты жилищных прав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>Федеральны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E637E6" w:rsidRPr="00D37FC5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 xml:space="preserve"> от 26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 xml:space="preserve"> декабря </w:t>
            </w:r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 xml:space="preserve">2008 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 xml:space="preserve"> 294-ФЗ "О защите прав юридических лиц и индивидуальных предпринимателей при осуществлении</w:t>
            </w:r>
            <w:proofErr w:type="gramStart"/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,</w:t>
            </w:r>
            <w:proofErr w:type="gramEnd"/>
            <w:r w:rsidR="00E637E6" w:rsidRPr="00D37FC5">
              <w:rPr>
                <w:rFonts w:ascii="Times New Roman" w:hAnsi="Times New Roman" w:cs="Times New Roman"/>
                <w:sz w:val="24"/>
                <w:szCs w:val="24"/>
              </w:rPr>
              <w:t>государственного контроля (надзора) и муниципального контроля"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637E6" w:rsidRPr="00443204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" w:history="1">
              <w:r w:rsidR="00E637E6" w:rsidRPr="00443204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E637E6" w:rsidRPr="00443204">
              <w:rPr>
                <w:rFonts w:ascii="Times New Roman" w:hAnsi="Times New Roman" w:cs="Times New Roman"/>
                <w:sz w:val="24"/>
                <w:szCs w:val="24"/>
              </w:rPr>
              <w:t xml:space="preserve"> от 06 октября 2003 года № 131-ФЗ "Об общих принципах организации местного самоуправления в Российской Федерации"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E637E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21.01.2006 № 25 "Об утверждении Правил пользования жилыми помещениями"</w:t>
            </w:r>
          </w:p>
        </w:tc>
        <w:tc>
          <w:tcPr>
            <w:tcW w:w="3119" w:type="dxa"/>
            <w:gridSpan w:val="3"/>
          </w:tcPr>
          <w:p w:rsidR="003D137F" w:rsidRPr="001240CF" w:rsidRDefault="006E287B" w:rsidP="003D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3402" w:type="dxa"/>
            <w:gridSpan w:val="3"/>
          </w:tcPr>
          <w:p w:rsidR="003D137F" w:rsidRPr="001240CF" w:rsidRDefault="006E287B" w:rsidP="003D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  <w:gridSpan w:val="3"/>
          </w:tcPr>
          <w:p w:rsidR="003D137F" w:rsidRPr="001240CF" w:rsidRDefault="006E287B" w:rsidP="003D13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D137F" w:rsidRPr="001240CF" w:rsidTr="00A8782E">
        <w:tc>
          <w:tcPr>
            <w:tcW w:w="15513" w:type="dxa"/>
            <w:gridSpan w:val="12"/>
          </w:tcPr>
          <w:p w:rsidR="003D137F" w:rsidRPr="001240CF" w:rsidRDefault="003D137F" w:rsidP="00A5275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Организация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организационной структуре и системе управления органа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0348" w:type="dxa"/>
            <w:gridSpan w:val="9"/>
          </w:tcPr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Функции по осуществлению муниципального жилищного контроля возложены на </w:t>
            </w:r>
            <w:r w:rsidR="0073178C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Камско-Устьинского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73178C" w:rsidRDefault="003D137F" w:rsidP="0073178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Полномочиями по осуществлению муниципального жилищного контроля в соответствии с муниципальными нормативными правовыми актами, а также должностными инструкциями наделены советы, комиссии по контролю.</w:t>
            </w:r>
            <w:r w:rsidR="0073178C" w:rsidRPr="00250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78C" w:rsidRPr="003D137F" w:rsidRDefault="0073178C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37F" w:rsidRPr="001240C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вида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  <w:tc>
          <w:tcPr>
            <w:tcW w:w="10348" w:type="dxa"/>
            <w:gridSpan w:val="9"/>
          </w:tcPr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контроль: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 обеспечения безопасных и комфортных условий проживания граждан в муниципальном жилищном фонде;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  <w:t>контроль повышения эффективности использования и содержания жилищного фонда;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обеспечением сохранности муниципального жилищного фонда;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  <w:t>предупреждение процесса старения и разрушения муниципального жилищного фонда;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  <w:t>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      </w:r>
          </w:p>
          <w:p w:rsidR="003D137F" w:rsidRPr="003D137F" w:rsidRDefault="003D137F" w:rsidP="003D13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ab/>
              <w:t>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 лицам, индивидуальным предпринимателями, осуществляющих свою деят</w:t>
            </w:r>
            <w:r w:rsidR="00C47E41">
              <w:rPr>
                <w:rFonts w:ascii="Times New Roman" w:hAnsi="Times New Roman" w:cs="Times New Roman"/>
                <w:sz w:val="24"/>
                <w:szCs w:val="24"/>
              </w:rPr>
              <w:t>ельность на территории Камско-Устьинского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РТ.</w:t>
            </w:r>
            <w:proofErr w:type="gramEnd"/>
          </w:p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и реквизиты нормативных правовых актов, регламентирующих порядок организации и осуществления вида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0348" w:type="dxa"/>
            <w:gridSpan w:val="9"/>
          </w:tcPr>
          <w:p w:rsidR="007B7945" w:rsidRPr="00250CF4" w:rsidRDefault="003D137F" w:rsidP="007B79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bookmarkStart w:id="0" w:name="_GoBack"/>
            <w:bookmarkEnd w:id="0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еральный закон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      </w:r>
            <w:r w:rsidR="007B7945" w:rsidRPr="00250CF4">
              <w:rPr>
                <w:rFonts w:ascii="Times New Roman" w:hAnsi="Times New Roman" w:cs="Times New Roman"/>
                <w:sz w:val="24"/>
                <w:szCs w:val="24"/>
              </w:rPr>
              <w:t>Постановление Ис</w:t>
            </w:r>
            <w:r w:rsidR="007B7945">
              <w:rPr>
                <w:rFonts w:ascii="Times New Roman" w:hAnsi="Times New Roman" w:cs="Times New Roman"/>
                <w:sz w:val="24"/>
                <w:szCs w:val="24"/>
              </w:rPr>
              <w:t>полнительного комитета Камско-Устьинского</w:t>
            </w:r>
            <w:r w:rsidR="007B7945" w:rsidRPr="00250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РТ</w:t>
            </w:r>
            <w:r w:rsidR="007B7945">
              <w:rPr>
                <w:rFonts w:ascii="Times New Roman" w:hAnsi="Times New Roman" w:cs="Times New Roman"/>
                <w:sz w:val="24"/>
                <w:szCs w:val="24"/>
              </w:rPr>
              <w:t xml:space="preserve"> № 266 от 25.03.2019 г. «</w:t>
            </w:r>
            <w:r w:rsidR="007B7945" w:rsidRPr="00250CF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7B79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регламента «Об осуществлении </w:t>
            </w:r>
            <w:r w:rsidR="007B7945" w:rsidRPr="00250C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7B7945" w:rsidRPr="007B5105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Камско-Устьинского муниципального района за использованием и сохранностью муниципального жилищного фонда, соответствием жилых помещений данного фонда установленным санитарным</w:t>
            </w:r>
            <w:proofErr w:type="gramEnd"/>
            <w:r w:rsidR="007B7945" w:rsidRPr="007B5105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 правилам и нормам, иным требованиям</w:t>
            </w:r>
            <w:r w:rsidR="00FF199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D137F" w:rsidRPr="001240CF" w:rsidRDefault="003D137F" w:rsidP="007B7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взаимодействии органа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при осуществлении соответствующего вида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 с др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угими органами муниципального </w:t>
            </w:r>
            <w:r w:rsidR="000B7F2B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контроля, порядке и формах такого взаимодействия</w:t>
            </w:r>
          </w:p>
        </w:tc>
        <w:tc>
          <w:tcPr>
            <w:tcW w:w="10348" w:type="dxa"/>
            <w:gridSpan w:val="9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 », </w:t>
            </w:r>
            <w:r w:rsidR="002F206A">
              <w:rPr>
                <w:rFonts w:ascii="Times New Roman" w:hAnsi="Times New Roman" w:cs="Times New Roman"/>
                <w:sz w:val="24"/>
                <w:szCs w:val="24"/>
              </w:rPr>
              <w:t>Исполнительный комитет Камско-Устьинского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взаимодействует с прокуратурой и Палатой земельных иму</w:t>
            </w:r>
            <w:r w:rsidR="002F206A">
              <w:rPr>
                <w:rFonts w:ascii="Times New Roman" w:hAnsi="Times New Roman" w:cs="Times New Roman"/>
                <w:sz w:val="24"/>
                <w:szCs w:val="24"/>
              </w:rPr>
              <w:t>щественных отношений и Камско-</w:t>
            </w:r>
            <w:proofErr w:type="spellStart"/>
            <w:r w:rsidR="002F206A">
              <w:rPr>
                <w:rFonts w:ascii="Times New Roman" w:hAnsi="Times New Roman" w:cs="Times New Roman"/>
                <w:sz w:val="24"/>
                <w:szCs w:val="24"/>
              </w:rPr>
              <w:t>Устьинским</w:t>
            </w:r>
            <w:proofErr w:type="spellEnd"/>
            <w:r w:rsidR="002F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отделом Управления Федеральной службы государственной регистрации кадастра и картографии по Республике Татарстан в следующих формах: оказание методической помощи, обмен информацией</w:t>
            </w:r>
            <w:proofErr w:type="gramEnd"/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, проведение совместных мероприятий по муниципальному контролю.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выполнении отде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льных функций по осуществлению 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подведомственными органам 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      </w:r>
          </w:p>
        </w:tc>
        <w:tc>
          <w:tcPr>
            <w:tcW w:w="10348" w:type="dxa"/>
            <w:gridSpan w:val="9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Функции по осуществлению муниципального контроля с подведомственными органами не осуществлялись.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05" w:type="dxa"/>
            <w:gridSpan w:val="2"/>
          </w:tcPr>
          <w:p w:rsidR="003D137F" w:rsidRPr="001240CF" w:rsidRDefault="003D137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      </w:r>
          </w:p>
        </w:tc>
        <w:tc>
          <w:tcPr>
            <w:tcW w:w="10348" w:type="dxa"/>
            <w:gridSpan w:val="9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137F">
              <w:rPr>
                <w:rFonts w:ascii="Times New Roman" w:hAnsi="Times New Roman" w:cs="Times New Roman"/>
                <w:sz w:val="24"/>
                <w:szCs w:val="24"/>
              </w:rPr>
              <w:t>Не проводится</w:t>
            </w:r>
          </w:p>
        </w:tc>
      </w:tr>
      <w:tr w:rsidR="003D137F" w:rsidRPr="001240CF" w:rsidTr="00A8782E">
        <w:tc>
          <w:tcPr>
            <w:tcW w:w="15513" w:type="dxa"/>
            <w:gridSpan w:val="12"/>
          </w:tcPr>
          <w:p w:rsidR="003D137F" w:rsidRPr="001240CF" w:rsidRDefault="003D137F" w:rsidP="000347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III. Финансовое и кадровое обеспечение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динамике (по полугодиям)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290" w:type="dxa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финансовое обеспечение исполнения функций по осуществлению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контроля:</w:t>
            </w:r>
          </w:p>
        </w:tc>
        <w:tc>
          <w:tcPr>
            <w:tcW w:w="3334" w:type="dxa"/>
            <w:gridSpan w:val="4"/>
          </w:tcPr>
          <w:p w:rsidR="003D137F" w:rsidRPr="001240CF" w:rsidRDefault="003D137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402" w:type="dxa"/>
            <w:gridSpan w:val="3"/>
          </w:tcPr>
          <w:p w:rsidR="003D137F" w:rsidRPr="001240CF" w:rsidRDefault="003D137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3827" w:type="dxa"/>
            <w:gridSpan w:val="3"/>
          </w:tcPr>
          <w:p w:rsidR="003D137F" w:rsidRPr="001240CF" w:rsidRDefault="003D137F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D137F" w:rsidRPr="001240CF" w:rsidRDefault="003D137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планируемое выделение бюджетных средств, тыс. рублей</w:t>
            </w:r>
          </w:p>
        </w:tc>
        <w:tc>
          <w:tcPr>
            <w:tcW w:w="3334" w:type="dxa"/>
            <w:gridSpan w:val="4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D137F" w:rsidRPr="001240CF" w:rsidRDefault="003D137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фактическое выделение бюджетных средств, тыс. рублей</w:t>
            </w:r>
          </w:p>
        </w:tc>
        <w:tc>
          <w:tcPr>
            <w:tcW w:w="3334" w:type="dxa"/>
            <w:gridSpan w:val="4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3D137F" w:rsidRPr="001240CF" w:rsidRDefault="003D137F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расходование бюджетных средств (в том числе в расчете на объем исполненных в отчетный период контрольных функций), тыс. рублей</w:t>
            </w:r>
          </w:p>
        </w:tc>
        <w:tc>
          <w:tcPr>
            <w:tcW w:w="3334" w:type="dxa"/>
            <w:gridSpan w:val="4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2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gridSpan w:val="3"/>
          </w:tcPr>
          <w:p w:rsidR="003D137F" w:rsidRPr="001240CF" w:rsidRDefault="00072BBC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37F" w:rsidRPr="001240CF" w:rsidTr="00A8782E">
        <w:tc>
          <w:tcPr>
            <w:tcW w:w="660" w:type="dxa"/>
          </w:tcPr>
          <w:p w:rsidR="003D137F" w:rsidRPr="001240CF" w:rsidRDefault="003D137F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3D137F" w:rsidRPr="001240CF" w:rsidRDefault="003D137F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кадровое обеспечение исполнения функций по осуществлению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proofErr w:type="gramStart"/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</w:tc>
        <w:tc>
          <w:tcPr>
            <w:tcW w:w="3334" w:type="dxa"/>
            <w:gridSpan w:val="4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3D137F" w:rsidRPr="001240CF" w:rsidRDefault="003D137F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2776" w:rsidRPr="001240CF" w:rsidRDefault="007A2776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данные о штатной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работников органа 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контроля, выполняющих функции по контролю, и об укомплектованности штатной численности</w:t>
            </w:r>
          </w:p>
        </w:tc>
        <w:tc>
          <w:tcPr>
            <w:tcW w:w="3334" w:type="dxa"/>
            <w:gridSpan w:val="4"/>
          </w:tcPr>
          <w:p w:rsidR="007A2776" w:rsidRPr="007A2776" w:rsidRDefault="00072BBC" w:rsidP="00CB7B63">
            <w:pPr>
              <w:spacing w:before="100" w:beforeAutospacing="1" w:after="119"/>
              <w:ind w:left="96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Общая численность - 3</w:t>
            </w:r>
          </w:p>
          <w:p w:rsidR="007A2776" w:rsidRPr="007A2776" w:rsidRDefault="007A2776" w:rsidP="00CB7B63">
            <w:pPr>
              <w:spacing w:before="100" w:beforeAutospacing="1" w:after="119"/>
              <w:ind w:left="96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  <w:color w:val="2D2D2D"/>
              </w:rPr>
              <w:t>Функции контроля - 2</w:t>
            </w:r>
          </w:p>
        </w:tc>
        <w:tc>
          <w:tcPr>
            <w:tcW w:w="3402" w:type="dxa"/>
            <w:gridSpan w:val="3"/>
          </w:tcPr>
          <w:p w:rsidR="007A2776" w:rsidRPr="007A2776" w:rsidRDefault="00072BBC" w:rsidP="00CB7B63">
            <w:pPr>
              <w:spacing w:before="100" w:beforeAutospacing="1" w:after="119"/>
              <w:ind w:left="96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Общая численность - 3</w:t>
            </w:r>
          </w:p>
          <w:p w:rsidR="007A2776" w:rsidRPr="007A2776" w:rsidRDefault="007A2776" w:rsidP="00CB7B63">
            <w:pPr>
              <w:spacing w:before="100" w:beforeAutospacing="1" w:after="119"/>
              <w:ind w:left="102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  <w:color w:val="2D2D2D"/>
              </w:rPr>
              <w:t>Функции контроля - 2</w:t>
            </w:r>
          </w:p>
        </w:tc>
        <w:tc>
          <w:tcPr>
            <w:tcW w:w="3827" w:type="dxa"/>
            <w:gridSpan w:val="3"/>
          </w:tcPr>
          <w:p w:rsidR="007A2776" w:rsidRPr="007A2776" w:rsidRDefault="00072BBC" w:rsidP="00CB7B63">
            <w:pPr>
              <w:spacing w:before="100" w:beforeAutospacing="1" w:after="119"/>
              <w:ind w:left="96"/>
              <w:rPr>
                <w:rFonts w:ascii="Times New Roman" w:hAnsi="Times New Roman" w:cs="Times New Roman"/>
                <w:color w:val="2D2D2D"/>
              </w:rPr>
            </w:pPr>
            <w:r>
              <w:rPr>
                <w:rFonts w:ascii="Times New Roman" w:hAnsi="Times New Roman" w:cs="Times New Roman"/>
                <w:color w:val="2D2D2D"/>
              </w:rPr>
              <w:t>Общая численность - 3</w:t>
            </w:r>
          </w:p>
          <w:p w:rsidR="007A2776" w:rsidRPr="007A2776" w:rsidRDefault="007A2776" w:rsidP="00CB7B63">
            <w:pPr>
              <w:spacing w:before="100" w:beforeAutospacing="1" w:after="119"/>
              <w:ind w:left="102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  <w:color w:val="2D2D2D"/>
              </w:rPr>
              <w:t>Функции контроля - 2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квалификации работников, о мероприятиях по повышению их квалификации</w:t>
            </w:r>
          </w:p>
        </w:tc>
        <w:tc>
          <w:tcPr>
            <w:tcW w:w="3334" w:type="dxa"/>
            <w:gridSpan w:val="4"/>
          </w:tcPr>
          <w:p w:rsidR="007A2776" w:rsidRPr="007A2776" w:rsidRDefault="007A2776" w:rsidP="006C1D7D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 xml:space="preserve">Высшее образование – </w:t>
            </w:r>
            <w:r w:rsidR="00072BBC">
              <w:rPr>
                <w:rFonts w:ascii="Times New Roman" w:hAnsi="Times New Roman" w:cs="Times New Roman"/>
              </w:rPr>
              <w:t>2</w:t>
            </w:r>
            <w:r w:rsidRPr="007A2776">
              <w:rPr>
                <w:rFonts w:ascii="Times New Roman" w:hAnsi="Times New Roman" w:cs="Times New Roman"/>
              </w:rPr>
              <w:t xml:space="preserve">, Повышение квалификации работников </w:t>
            </w:r>
            <w:r w:rsidRPr="007A2776">
              <w:rPr>
                <w:rFonts w:ascii="Times New Roman" w:hAnsi="Times New Roman" w:cs="Times New Roman"/>
                <w:color w:val="2D2D2D"/>
              </w:rPr>
              <w:t>органа муниципального контроля</w:t>
            </w:r>
            <w:r w:rsidRPr="007A2776">
              <w:rPr>
                <w:rFonts w:ascii="Times New Roman" w:hAnsi="Times New Roman" w:cs="Times New Roman"/>
                <w:color w:val="727272"/>
              </w:rPr>
              <w:t xml:space="preserve">, </w:t>
            </w:r>
            <w:r w:rsidRPr="007A2776">
              <w:rPr>
                <w:rFonts w:ascii="Times New Roman" w:hAnsi="Times New Roman" w:cs="Times New Roman"/>
                <w:color w:val="181818"/>
              </w:rPr>
              <w:t xml:space="preserve">выполняющих функции </w:t>
            </w:r>
            <w:r w:rsidRPr="007A2776">
              <w:rPr>
                <w:rFonts w:ascii="Times New Roman" w:hAnsi="Times New Roman" w:cs="Times New Roman"/>
                <w:color w:val="2D2D2D"/>
              </w:rPr>
              <w:t>по контролю,</w:t>
            </w:r>
            <w:r w:rsidRPr="007A2776"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  <w:tc>
          <w:tcPr>
            <w:tcW w:w="3402" w:type="dxa"/>
            <w:gridSpan w:val="3"/>
          </w:tcPr>
          <w:p w:rsidR="007A2776" w:rsidRPr="007A2776" w:rsidRDefault="007A2776" w:rsidP="006C1D7D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 xml:space="preserve">Высшее образование – </w:t>
            </w:r>
            <w:r w:rsidR="00072BBC">
              <w:rPr>
                <w:rFonts w:ascii="Times New Roman" w:hAnsi="Times New Roman" w:cs="Times New Roman"/>
              </w:rPr>
              <w:t>2</w:t>
            </w:r>
            <w:r w:rsidRPr="007A2776">
              <w:rPr>
                <w:rFonts w:ascii="Times New Roman" w:hAnsi="Times New Roman" w:cs="Times New Roman"/>
              </w:rPr>
              <w:t xml:space="preserve">, Повышение квалификации работников </w:t>
            </w:r>
            <w:r w:rsidRPr="007A2776">
              <w:rPr>
                <w:rFonts w:ascii="Times New Roman" w:hAnsi="Times New Roman" w:cs="Times New Roman"/>
                <w:color w:val="2D2D2D"/>
              </w:rPr>
              <w:t>органа муниципального контроля</w:t>
            </w:r>
            <w:r w:rsidRPr="007A2776">
              <w:rPr>
                <w:rFonts w:ascii="Times New Roman" w:hAnsi="Times New Roman" w:cs="Times New Roman"/>
                <w:color w:val="727272"/>
              </w:rPr>
              <w:t xml:space="preserve">, </w:t>
            </w:r>
            <w:r w:rsidRPr="007A2776">
              <w:rPr>
                <w:rFonts w:ascii="Times New Roman" w:hAnsi="Times New Roman" w:cs="Times New Roman"/>
                <w:color w:val="181818"/>
              </w:rPr>
              <w:t xml:space="preserve">выполняющих функции </w:t>
            </w:r>
            <w:r w:rsidRPr="007A2776">
              <w:rPr>
                <w:rFonts w:ascii="Times New Roman" w:hAnsi="Times New Roman" w:cs="Times New Roman"/>
                <w:color w:val="2D2D2D"/>
              </w:rPr>
              <w:t>по контролю,</w:t>
            </w:r>
            <w:r w:rsidRPr="007A2776"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  <w:tc>
          <w:tcPr>
            <w:tcW w:w="3827" w:type="dxa"/>
            <w:gridSpan w:val="3"/>
          </w:tcPr>
          <w:p w:rsidR="007A2776" w:rsidRPr="007A2776" w:rsidRDefault="007A2776" w:rsidP="00CB7B6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 xml:space="preserve">Высшее образование – </w:t>
            </w:r>
            <w:r w:rsidR="00072BBC">
              <w:rPr>
                <w:rFonts w:ascii="Times New Roman" w:hAnsi="Times New Roman" w:cs="Times New Roman"/>
              </w:rPr>
              <w:t>2</w:t>
            </w:r>
            <w:r w:rsidRPr="007A2776">
              <w:rPr>
                <w:rFonts w:ascii="Times New Roman" w:hAnsi="Times New Roman" w:cs="Times New Roman"/>
              </w:rPr>
              <w:t xml:space="preserve">, </w:t>
            </w:r>
          </w:p>
          <w:p w:rsidR="007A2776" w:rsidRPr="007A2776" w:rsidRDefault="007A2776" w:rsidP="00CB7B63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 xml:space="preserve">Повышение квалификации работников </w:t>
            </w:r>
            <w:r w:rsidRPr="007A2776">
              <w:rPr>
                <w:rFonts w:ascii="Times New Roman" w:hAnsi="Times New Roman" w:cs="Times New Roman"/>
                <w:color w:val="2D2D2D"/>
              </w:rPr>
              <w:t>органа муниципального контроля</w:t>
            </w:r>
            <w:r w:rsidRPr="007A2776">
              <w:rPr>
                <w:rFonts w:ascii="Times New Roman" w:hAnsi="Times New Roman" w:cs="Times New Roman"/>
                <w:color w:val="727272"/>
              </w:rPr>
              <w:t xml:space="preserve">, </w:t>
            </w:r>
            <w:r w:rsidRPr="007A2776">
              <w:rPr>
                <w:rFonts w:ascii="Times New Roman" w:hAnsi="Times New Roman" w:cs="Times New Roman"/>
                <w:color w:val="181818"/>
              </w:rPr>
              <w:t xml:space="preserve">выполняющих функции </w:t>
            </w:r>
            <w:r w:rsidRPr="007A2776">
              <w:rPr>
                <w:rFonts w:ascii="Times New Roman" w:hAnsi="Times New Roman" w:cs="Times New Roman"/>
                <w:color w:val="2D2D2D"/>
              </w:rPr>
              <w:t>по контролю,</w:t>
            </w:r>
            <w:r w:rsidRPr="007A2776">
              <w:rPr>
                <w:rFonts w:ascii="Times New Roman" w:hAnsi="Times New Roman" w:cs="Times New Roman"/>
              </w:rPr>
              <w:t xml:space="preserve"> не проводилось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данные о средней нагрузке на одного работника по фактически выполненному в отчетный период объему функций по контролю</w:t>
            </w:r>
          </w:p>
        </w:tc>
        <w:tc>
          <w:tcPr>
            <w:tcW w:w="3334" w:type="dxa"/>
            <w:gridSpan w:val="4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402" w:type="dxa"/>
            <w:gridSpan w:val="3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3827" w:type="dxa"/>
            <w:gridSpan w:val="3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численность экспертов и представителей экспертных организаций, привлекаемых к проведению мероприятий по контролю (при их наличии)</w:t>
            </w:r>
          </w:p>
        </w:tc>
        <w:tc>
          <w:tcPr>
            <w:tcW w:w="3334" w:type="dxa"/>
            <w:gridSpan w:val="4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  <w:tc>
          <w:tcPr>
            <w:tcW w:w="3402" w:type="dxa"/>
            <w:gridSpan w:val="3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  <w:tc>
          <w:tcPr>
            <w:tcW w:w="3827" w:type="dxa"/>
            <w:gridSpan w:val="3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</w:tr>
      <w:tr w:rsidR="007A2776" w:rsidRPr="001240CF" w:rsidTr="00A8782E">
        <w:tc>
          <w:tcPr>
            <w:tcW w:w="15513" w:type="dxa"/>
            <w:gridSpan w:val="12"/>
          </w:tcPr>
          <w:p w:rsidR="007A2776" w:rsidRPr="001240CF" w:rsidRDefault="007A2776" w:rsidP="00715F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IV. Проведение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7A2776" w:rsidRPr="001240CF" w:rsidRDefault="007A2776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характеризующие выполненную в отчетный период работу по осуществлению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соответствующим сферам деятельности, в том числе в динамике (по полугодиям и за год)</w:t>
            </w:r>
          </w:p>
        </w:tc>
        <w:tc>
          <w:tcPr>
            <w:tcW w:w="3334" w:type="dxa"/>
            <w:gridSpan w:val="4"/>
          </w:tcPr>
          <w:p w:rsidR="007A2776" w:rsidRPr="007A2776" w:rsidRDefault="00072BBC" w:rsidP="00072BBC">
            <w:pPr>
              <w:spacing w:before="23" w:after="119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="007A2776" w:rsidRPr="007A2776">
              <w:rPr>
                <w:rFonts w:ascii="Times New Roman" w:hAnsi="Times New Roman" w:cs="Times New Roman"/>
              </w:rPr>
              <w:t xml:space="preserve"> провер</w:t>
            </w:r>
            <w:r>
              <w:rPr>
                <w:rFonts w:ascii="Times New Roman" w:hAnsi="Times New Roman" w:cs="Times New Roman"/>
              </w:rPr>
              <w:t>ок не осуществлялось</w:t>
            </w:r>
          </w:p>
        </w:tc>
        <w:tc>
          <w:tcPr>
            <w:tcW w:w="3402" w:type="dxa"/>
            <w:gridSpan w:val="3"/>
          </w:tcPr>
          <w:p w:rsidR="007A2776" w:rsidRPr="007A2776" w:rsidRDefault="00072BBC" w:rsidP="00072BBC">
            <w:pPr>
              <w:spacing w:before="23" w:after="119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A2776">
              <w:rPr>
                <w:rFonts w:ascii="Times New Roman" w:hAnsi="Times New Roman" w:cs="Times New Roman"/>
              </w:rPr>
              <w:t xml:space="preserve"> провер</w:t>
            </w:r>
            <w:r>
              <w:rPr>
                <w:rFonts w:ascii="Times New Roman" w:hAnsi="Times New Roman" w:cs="Times New Roman"/>
              </w:rPr>
              <w:t>ок не осуществлялось</w:t>
            </w:r>
          </w:p>
        </w:tc>
        <w:tc>
          <w:tcPr>
            <w:tcW w:w="3827" w:type="dxa"/>
            <w:gridSpan w:val="3"/>
          </w:tcPr>
          <w:p w:rsidR="007A2776" w:rsidRPr="007A2776" w:rsidRDefault="00072BBC" w:rsidP="00CB7B63">
            <w:pPr>
              <w:spacing w:before="23" w:after="119"/>
              <w:ind w:left="9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</w:t>
            </w:r>
            <w:r w:rsidRPr="007A2776">
              <w:rPr>
                <w:rFonts w:ascii="Times New Roman" w:hAnsi="Times New Roman" w:cs="Times New Roman"/>
              </w:rPr>
              <w:t xml:space="preserve"> провер</w:t>
            </w:r>
            <w:r>
              <w:rPr>
                <w:rFonts w:ascii="Times New Roman" w:hAnsi="Times New Roman" w:cs="Times New Roman"/>
              </w:rPr>
              <w:t>ок не осуществлялось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      </w:r>
          </w:p>
        </w:tc>
        <w:tc>
          <w:tcPr>
            <w:tcW w:w="10563" w:type="dxa"/>
            <w:gridSpan w:val="10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>Не привлекались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      </w:r>
            <w:proofErr w:type="gramEnd"/>
          </w:p>
        </w:tc>
        <w:tc>
          <w:tcPr>
            <w:tcW w:w="10563" w:type="dxa"/>
            <w:gridSpan w:val="10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90" w:type="dxa"/>
          </w:tcPr>
          <w:p w:rsidR="007A2776" w:rsidRPr="001240CF" w:rsidRDefault="007A2776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применении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риск-ориентированного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подхода при организации и осуществлении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  <w:tc>
          <w:tcPr>
            <w:tcW w:w="10563" w:type="dxa"/>
            <w:gridSpan w:val="10"/>
          </w:tcPr>
          <w:p w:rsidR="007A2776" w:rsidRPr="001240CF" w:rsidRDefault="007A2776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      </w:r>
          </w:p>
        </w:tc>
        <w:tc>
          <w:tcPr>
            <w:tcW w:w="10563" w:type="dxa"/>
            <w:gridSpan w:val="10"/>
          </w:tcPr>
          <w:p w:rsidR="007A2776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>Проведены следующие мероприятия по профилактике нарушений обязательных требований:</w:t>
            </w:r>
          </w:p>
          <w:p w:rsidR="007A2776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6AB8" w:rsidRPr="001240CF" w:rsidRDefault="007A2776" w:rsidP="00526A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- На официальном  сайте </w:t>
            </w:r>
            <w:hyperlink r:id="rId8" w:history="1">
              <w:r w:rsidR="00176FEE" w:rsidRPr="00C64D9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https://kamskoye-ustye.tatarstan.ru/</w:t>
              </w:r>
            </w:hyperlink>
            <w:r w:rsidR="0017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в сети "Интернет" </w:t>
            </w:r>
            <w:r w:rsidR="00526AB8">
              <w:rPr>
                <w:rFonts w:ascii="Times New Roman" w:hAnsi="Times New Roman" w:cs="Times New Roman"/>
                <w:sz w:val="24"/>
                <w:szCs w:val="24"/>
              </w:rPr>
              <w:t>будет размещен до 05.02.2021г.</w:t>
            </w:r>
          </w:p>
          <w:p w:rsidR="007A2776" w:rsidRPr="001240CF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</w:tcPr>
          <w:p w:rsidR="007A2776" w:rsidRPr="001240CF" w:rsidRDefault="007A2776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проведении мероприятий по контролю, при проведении которых не требуется взаимодействие органа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муниципального контроля, с юридическими лицами и индивидуальными предпринимателями</w:t>
            </w:r>
          </w:p>
        </w:tc>
        <w:tc>
          <w:tcPr>
            <w:tcW w:w="10563" w:type="dxa"/>
            <w:gridSpan w:val="10"/>
          </w:tcPr>
          <w:p w:rsidR="007A2776" w:rsidRPr="007A2776" w:rsidRDefault="000F20BD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2020</w:t>
            </w:r>
            <w:r w:rsidR="007A2776"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проведены следующие мероприятия по контролю, при проведение которых не требуется взаимодействие органа муниципального контроля с юридическими лицами и индивидуальными предпринимателями:</w:t>
            </w:r>
          </w:p>
          <w:p w:rsidR="007A2776" w:rsidRPr="007A2776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>- плановые (рейдовые) осмотры (обследования) территорий;</w:t>
            </w:r>
          </w:p>
          <w:p w:rsidR="007A2776" w:rsidRPr="007A2776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соблюдением обязательных требований, требований, установленных муниципальными правовыми актами. </w:t>
            </w:r>
          </w:p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Сведения о количестве проведенных в отчетном периоде проверок в отношении субъектов малого предпринимательства</w:t>
            </w:r>
          </w:p>
        </w:tc>
        <w:tc>
          <w:tcPr>
            <w:tcW w:w="10563" w:type="dxa"/>
            <w:gridSpan w:val="10"/>
          </w:tcPr>
          <w:p w:rsidR="007A2776" w:rsidRPr="001240CF" w:rsidRDefault="000F20BD" w:rsidP="00176F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 2020</w:t>
            </w:r>
            <w:r w:rsidR="007A2776"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 года проверки</w:t>
            </w:r>
            <w:r w:rsidR="00176FEE">
              <w:rPr>
                <w:rFonts w:ascii="Times New Roman" w:hAnsi="Times New Roman" w:cs="Times New Roman"/>
                <w:sz w:val="24"/>
                <w:szCs w:val="24"/>
              </w:rPr>
              <w:t xml:space="preserve"> не проведены.</w:t>
            </w:r>
          </w:p>
        </w:tc>
      </w:tr>
      <w:tr w:rsidR="007A2776" w:rsidRPr="001240CF" w:rsidTr="00A8782E">
        <w:tc>
          <w:tcPr>
            <w:tcW w:w="15513" w:type="dxa"/>
            <w:gridSpan w:val="12"/>
          </w:tcPr>
          <w:p w:rsidR="007A2776" w:rsidRPr="001240CF" w:rsidRDefault="007A2776" w:rsidP="00715F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V. Действия органов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по пресечению нарушений обязательных требований и (или) устранению последствий таких нарушений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7A2776" w:rsidRPr="001240CF" w:rsidRDefault="007A2776" w:rsidP="00034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принятых органом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 мерах реагирования по фактам выявленных нарушений, в том числе в динамике (по полугодиям и за год)</w:t>
            </w:r>
          </w:p>
        </w:tc>
        <w:tc>
          <w:tcPr>
            <w:tcW w:w="3334" w:type="dxa"/>
            <w:gridSpan w:val="4"/>
          </w:tcPr>
          <w:p w:rsidR="007A2776" w:rsidRPr="007A2776" w:rsidRDefault="007A2776" w:rsidP="00CB7B63">
            <w:pPr>
              <w:spacing w:before="23" w:after="119"/>
              <w:jc w:val="center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 xml:space="preserve">Нарушения в ходе проведения муниципального контроля обнаружены, выдано предписание </w:t>
            </w:r>
          </w:p>
        </w:tc>
        <w:tc>
          <w:tcPr>
            <w:tcW w:w="3402" w:type="dxa"/>
            <w:gridSpan w:val="3"/>
          </w:tcPr>
          <w:p w:rsidR="007A2776" w:rsidRPr="007A2776" w:rsidRDefault="007A2776" w:rsidP="00CB7B63">
            <w:pPr>
              <w:spacing w:before="23" w:after="119"/>
              <w:jc w:val="center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>Нарушения в ходе проведения муниципального контроля обнаружены, выдано предписание</w:t>
            </w:r>
          </w:p>
        </w:tc>
        <w:tc>
          <w:tcPr>
            <w:tcW w:w="3827" w:type="dxa"/>
            <w:gridSpan w:val="3"/>
          </w:tcPr>
          <w:p w:rsidR="007A2776" w:rsidRPr="007A2776" w:rsidRDefault="007A2776" w:rsidP="00CB7B63">
            <w:pPr>
              <w:spacing w:before="23" w:after="119"/>
              <w:jc w:val="center"/>
              <w:rPr>
                <w:rFonts w:ascii="Times New Roman" w:hAnsi="Times New Roman" w:cs="Times New Roman"/>
              </w:rPr>
            </w:pPr>
            <w:r w:rsidRPr="007A2776">
              <w:rPr>
                <w:rFonts w:ascii="Times New Roman" w:hAnsi="Times New Roman" w:cs="Times New Roman"/>
              </w:rPr>
              <w:t>В ходе проведения 4 проверок, были выявлены нарушения, выданы 4 предписания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7A2776" w:rsidRPr="001240CF" w:rsidRDefault="007A2776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</w:t>
            </w:r>
          </w:p>
        </w:tc>
        <w:tc>
          <w:tcPr>
            <w:tcW w:w="10563" w:type="dxa"/>
            <w:gridSpan w:val="10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профилактическая работа с юридическими лицами и индивидуальными предпринимателями, направленная на пресечение нарушений с их стороны; количество проведенных публичных совещаний </w:t>
            </w:r>
            <w:r w:rsidR="007F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5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1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 w:rsidR="00D7118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видеоконференций – 0</w:t>
            </w: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0" w:type="dxa"/>
          </w:tcPr>
          <w:p w:rsidR="007A2776" w:rsidRPr="001240CF" w:rsidRDefault="007A2776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контроля)</w:t>
            </w:r>
          </w:p>
        </w:tc>
        <w:tc>
          <w:tcPr>
            <w:tcW w:w="10563" w:type="dxa"/>
            <w:gridSpan w:val="10"/>
          </w:tcPr>
          <w:p w:rsidR="007A2776" w:rsidRPr="007A2776" w:rsidRDefault="007A2776" w:rsidP="007A277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277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776" w:rsidRPr="001240CF" w:rsidTr="00A8782E">
        <w:tc>
          <w:tcPr>
            <w:tcW w:w="15513" w:type="dxa"/>
            <w:gridSpan w:val="12"/>
          </w:tcPr>
          <w:p w:rsidR="007A2776" w:rsidRPr="001240CF" w:rsidRDefault="007A2776" w:rsidP="000347F6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VI. Анализ и оценка эффективности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0347F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7A2776" w:rsidRPr="001240CF" w:rsidTr="00A8782E">
        <w:tc>
          <w:tcPr>
            <w:tcW w:w="660" w:type="dxa"/>
            <w:vMerge w:val="restart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90" w:type="dxa"/>
            <w:vMerge w:val="restart"/>
          </w:tcPr>
          <w:p w:rsidR="007A2776" w:rsidRPr="001240CF" w:rsidRDefault="007A2776" w:rsidP="00034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рассчитанные на основании сведений, содержащихся в </w:t>
            </w:r>
            <w:hyperlink r:id="rId9" w:history="1">
              <w:r w:rsidRPr="001240CF">
                <w:rPr>
                  <w:rFonts w:ascii="Times New Roman" w:hAnsi="Times New Roman" w:cs="Times New Roman"/>
                  <w:sz w:val="24"/>
                  <w:szCs w:val="24"/>
                </w:rPr>
                <w:t>форме N 1-контроль</w:t>
              </w:r>
            </w:hyperlink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"Сведения об осуществлении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 ", утверждаемой Росстатом:</w:t>
            </w:r>
          </w:p>
        </w:tc>
        <w:tc>
          <w:tcPr>
            <w:tcW w:w="10563" w:type="dxa"/>
            <w:gridSpan w:val="10"/>
          </w:tcPr>
          <w:p w:rsidR="007A2776" w:rsidRPr="001240CF" w:rsidRDefault="007A2776" w:rsidP="000347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Данные анализа и оценки показателей эффективности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в том числе в динамике (по полугодиям)</w:t>
            </w:r>
          </w:p>
        </w:tc>
      </w:tr>
      <w:tr w:rsidR="007A2776" w:rsidRPr="001240CF" w:rsidTr="00A8782E">
        <w:tc>
          <w:tcPr>
            <w:tcW w:w="660" w:type="dxa"/>
            <w:vMerge/>
          </w:tcPr>
          <w:p w:rsidR="007A2776" w:rsidRPr="001240CF" w:rsidRDefault="007A2776" w:rsidP="00C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7A2776" w:rsidRPr="001240CF" w:rsidRDefault="007A2776" w:rsidP="00C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4" w:type="dxa"/>
            <w:gridSpan w:val="4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за отчетный период</w:t>
            </w:r>
          </w:p>
        </w:tc>
        <w:tc>
          <w:tcPr>
            <w:tcW w:w="3402" w:type="dxa"/>
            <w:gridSpan w:val="3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за предшествующий период</w:t>
            </w:r>
          </w:p>
        </w:tc>
        <w:tc>
          <w:tcPr>
            <w:tcW w:w="3827" w:type="dxa"/>
            <w:gridSpan w:val="3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значений показателей (более 10 процентов)</w:t>
            </w:r>
          </w:p>
        </w:tc>
      </w:tr>
      <w:tr w:rsidR="007A2776" w:rsidRPr="001240CF" w:rsidTr="00A8782E">
        <w:tc>
          <w:tcPr>
            <w:tcW w:w="660" w:type="dxa"/>
            <w:vMerge/>
          </w:tcPr>
          <w:p w:rsidR="007A2776" w:rsidRPr="001240CF" w:rsidRDefault="007A2776" w:rsidP="00C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0" w:type="dxa"/>
            <w:vMerge/>
          </w:tcPr>
          <w:p w:rsidR="007A2776" w:rsidRPr="001240CF" w:rsidRDefault="007A2776" w:rsidP="00CB7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5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851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8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3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851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1275" w:type="dxa"/>
          </w:tcPr>
          <w:p w:rsidR="007A2776" w:rsidRPr="001240CF" w:rsidRDefault="007A2776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второе полугодие</w:t>
            </w:r>
          </w:p>
        </w:tc>
        <w:tc>
          <w:tcPr>
            <w:tcW w:w="1276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7A2776" w:rsidRPr="001240CF" w:rsidTr="00A8782E">
        <w:tc>
          <w:tcPr>
            <w:tcW w:w="660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90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A2776" w:rsidRPr="001240CF" w:rsidRDefault="007A2776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проведенных плановых проверок от общего количества запланированных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заявлений органов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, направленных в органы прокуратуры о согласовании проведения внеплановых выездных проверок, в согласовании которых было отказано, от общего числа заявлений, направленных в органы прокуратуры,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результаты которых признаны недействительными, от общего числа проведенных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проверок, проведенных органами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нарушениями требований законодательства Российской Федерации о порядке их проведения, по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результатам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которых к должностным лицам органов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осуществившим такие проверки, применены меры дисциплинарного, административного наказания, от общего числа проведенных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A27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90" w:type="dxa"/>
          </w:tcPr>
          <w:p w:rsidR="00786785" w:rsidRPr="001240CF" w:rsidRDefault="00786785" w:rsidP="000347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отношении которых органами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проведены проверки, от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деятельность которых подлежит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муниципальному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86785" w:rsidP="00CB7B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Среднее количество проверок, проведенных в отношении одного юридического лица, индивидуального предпринимателя, единиц</w:t>
            </w:r>
          </w:p>
        </w:tc>
        <w:tc>
          <w:tcPr>
            <w:tcW w:w="1208" w:type="dxa"/>
            <w:gridSpan w:val="2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проведенных внеплановых проверок от общего количества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правонарушений, выявленных по итогам проведения внеплановых проверок, от общего числа правонарушений, выявленных по итогам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от общего количества проведенных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целью прекращения дальнейшего причинения вреда и ликвидации последствий таких нарушений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проведенных внеплановых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выявлены правонарушения, от общего числа проведенных плановых и внеплановых проверок,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0A6040" w:rsidP="000F20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0A6040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результатам выявленных правонарушений возбуждены дела об административных правонарушениях, от общего числа проверок, по итогам которых выявлены правонарушения,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итогам которых по фактам выявленных нарушений наложены административные наказания, от общего числа проверок, по итогам которых по результатам выявленных правонарушений возбуждены дела об административных правонарушениях,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имуществу физических и юридических лиц, безопасности государства, а также угрозу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характера, от общего числа проверенных лиц, процентов</w:t>
            </w:r>
            <w:proofErr w:type="gramEnd"/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ущерба), единиц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Доля выявленных при проведении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проверок правонарушений, связанных с неисполнением предписаний, от общего числа выявленных правонарушений,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Отношение суммы взысканных административных штрафов к общей сумме наложенных административных штрафов, процентов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Средний размер наложенного административного штрафа, в том числе на должностных лиц и юридических лиц, тыс. рублей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дел, от общего количества проверок, в результате которых выявлены нарушения обязательных требований, процентов".</w:t>
            </w:r>
          </w:p>
        </w:tc>
        <w:tc>
          <w:tcPr>
            <w:tcW w:w="1208" w:type="dxa"/>
            <w:gridSpan w:val="2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8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3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786785" w:rsidRPr="001240CF" w:rsidRDefault="00786785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86785" w:rsidRPr="001240CF" w:rsidRDefault="007F5469" w:rsidP="007F54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Показатели, характеризующие особенности осуществления </w:t>
            </w:r>
            <w:r w:rsidR="00715FE7" w:rsidRPr="00715FE7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соответствующих сферах деятельности, расчет и анализ которых проводится органами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на основании сведений ведомственных статистических наблюдений</w:t>
            </w:r>
          </w:p>
        </w:tc>
        <w:tc>
          <w:tcPr>
            <w:tcW w:w="10563" w:type="dxa"/>
            <w:gridSpan w:val="10"/>
          </w:tcPr>
          <w:p w:rsidR="00786785" w:rsidRPr="001240CF" w:rsidRDefault="00786785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органов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по пресечению нарушений обязательных требований и (или) устранению последствий таких нарушений, в том числе по оценке предотвращенного в результате таких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ущерба (по имеющимся методикам расчета размеров ущерба в различных сферах деятельности)</w:t>
            </w:r>
          </w:p>
        </w:tc>
        <w:tc>
          <w:tcPr>
            <w:tcW w:w="10563" w:type="dxa"/>
            <w:gridSpan w:val="10"/>
          </w:tcPr>
          <w:p w:rsidR="00786785" w:rsidRPr="001240CF" w:rsidRDefault="00786785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Предотвращенный ущерб не подсчитывался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4290" w:type="dxa"/>
          </w:tcPr>
          <w:p w:rsidR="00786785" w:rsidRPr="001240CF" w:rsidRDefault="00786785" w:rsidP="001240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Оценка и прогноз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состояния исполнения обязательных требований законодательства Российской Федерации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соответствующей сфере деятельности</w:t>
            </w:r>
          </w:p>
        </w:tc>
        <w:tc>
          <w:tcPr>
            <w:tcW w:w="10563" w:type="dxa"/>
            <w:gridSpan w:val="10"/>
          </w:tcPr>
          <w:p w:rsidR="00786785" w:rsidRPr="001240CF" w:rsidRDefault="00786785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6785">
              <w:rPr>
                <w:rFonts w:ascii="Times New Roman" w:hAnsi="Times New Roman" w:cs="Times New Roman"/>
                <w:sz w:val="24"/>
                <w:szCs w:val="24"/>
              </w:rPr>
              <w:t>Планируется продолжить работу по исполнению обязательных требований действующего законодательства.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Анализ ключевых показателей результативности контрольно-надзорной деятельности, устанавливаемых отдельными решениями Правительства Российской Федерации для федеральных органов исполнительной власти, решениями высших органов исполнительной власти субъектов Российской Федерации для органов исполнительной власти субъектов Российской Федерации, у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полномоченных на осуществление 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в соответствующих сферах деятельности на территории субъекта Российской Федерации, и их значений»</w:t>
            </w:r>
          </w:p>
        </w:tc>
        <w:tc>
          <w:tcPr>
            <w:tcW w:w="10563" w:type="dxa"/>
            <w:gridSpan w:val="10"/>
          </w:tcPr>
          <w:p w:rsidR="00786785" w:rsidRPr="001240CF" w:rsidRDefault="0008436D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r w:rsidRPr="0008436D">
              <w:rPr>
                <w:rFonts w:ascii="Times New Roman" w:hAnsi="Times New Roman" w:cs="Times New Roman"/>
                <w:sz w:val="24"/>
                <w:szCs w:val="24"/>
              </w:rPr>
              <w:t>показателей результативности контрольно-надзорной деятельнос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не установлены.</w:t>
            </w:r>
          </w:p>
        </w:tc>
      </w:tr>
      <w:tr w:rsidR="00786785" w:rsidRPr="001240CF" w:rsidTr="00A8782E">
        <w:tc>
          <w:tcPr>
            <w:tcW w:w="15513" w:type="dxa"/>
            <w:gridSpan w:val="12"/>
          </w:tcPr>
          <w:p w:rsidR="00786785" w:rsidRPr="001240CF" w:rsidRDefault="00786785" w:rsidP="00715FE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VII. Выводы и предложения по результатам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Выводы и предложения о результатах осуществления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proofErr w:type="gramEnd"/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планируемые на текущий год показатели его эффективности</w:t>
            </w:r>
          </w:p>
        </w:tc>
        <w:tc>
          <w:tcPr>
            <w:tcW w:w="10563" w:type="dxa"/>
            <w:gridSpan w:val="10"/>
          </w:tcPr>
          <w:p w:rsidR="00786785" w:rsidRPr="001240CF" w:rsidRDefault="007F5469" w:rsidP="004221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4221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провести 4 проверки по муниципальному контролю.</w:t>
            </w:r>
            <w:r w:rsidRPr="007F546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 совершенствовании нормативно-правового регулирования и осуществления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715FE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контроля,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соответствующей сфере 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0563" w:type="dxa"/>
            <w:gridSpan w:val="10"/>
          </w:tcPr>
          <w:p w:rsidR="00786785" w:rsidRPr="001240CF" w:rsidRDefault="0008436D" w:rsidP="00CB7B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Необходимость систематической информационно-разъяснительной работы с юридическими лицами и индивидуальными предпринимателями, чья деятельность подлежит контролю, с целью разъяснения им положений действующего законодательства, обязательных требований, соблюдение которых выступает предметом контрольно-надзорной деятельности, оперативного информирования </w:t>
            </w:r>
            <w:r w:rsidRPr="000843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изменениях в законодательстве и в правоприменительной практике</w:t>
            </w:r>
            <w:r w:rsidR="007F5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6785" w:rsidRPr="001240CF" w:rsidTr="00A8782E">
        <w:tc>
          <w:tcPr>
            <w:tcW w:w="660" w:type="dxa"/>
          </w:tcPr>
          <w:p w:rsidR="00786785" w:rsidRPr="001240CF" w:rsidRDefault="00786785" w:rsidP="001240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0" w:type="dxa"/>
          </w:tcPr>
          <w:p w:rsidR="00786785" w:rsidRPr="001240CF" w:rsidRDefault="00786785" w:rsidP="00715F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Иные предложения, связанные с осуществлением </w:t>
            </w:r>
            <w:r w:rsidR="00A52756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240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и направленные на повышение эффективности такого контроля и сокращение административных ограничений в предпринимательской деятельности</w:t>
            </w:r>
          </w:p>
        </w:tc>
        <w:tc>
          <w:tcPr>
            <w:tcW w:w="10563" w:type="dxa"/>
            <w:gridSpan w:val="10"/>
          </w:tcPr>
          <w:p w:rsidR="00786785" w:rsidRPr="001240CF" w:rsidRDefault="0008436D" w:rsidP="000B7F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436D">
              <w:rPr>
                <w:rFonts w:ascii="Times New Roman" w:hAnsi="Times New Roman" w:cs="Times New Roman"/>
                <w:sz w:val="24"/>
                <w:szCs w:val="24"/>
              </w:rPr>
              <w:t>Организация постоянного повышения квалификации работников органов муниципального контроля, в том числе в форме семинаров, совместных совещаний органов муниципального контроля по наиболее актуальным вопросам осуществления контрольно-надзорной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240CF" w:rsidRPr="001240CF" w:rsidRDefault="001240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3E8B" w:rsidRDefault="00A52756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7A3E8B">
        <w:rPr>
          <w:rFonts w:ascii="Times New Roman" w:hAnsi="Times New Roman" w:cs="Times New Roman"/>
          <w:sz w:val="24"/>
          <w:szCs w:val="24"/>
        </w:rPr>
        <w:t>Камско-Устьинского</w:t>
      </w:r>
      <w:r w:rsidR="007F5469" w:rsidRPr="007F54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469" w:rsidRPr="007F54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F5469">
        <w:rPr>
          <w:rFonts w:ascii="Times New Roman" w:hAnsi="Times New Roman" w:cs="Times New Roman"/>
          <w:sz w:val="24"/>
          <w:szCs w:val="24"/>
        </w:rPr>
        <w:t xml:space="preserve"> </w:t>
      </w:r>
      <w:r w:rsidR="007F5469" w:rsidRPr="007F5469">
        <w:rPr>
          <w:rFonts w:ascii="Times New Roman" w:hAnsi="Times New Roman" w:cs="Times New Roman"/>
          <w:sz w:val="24"/>
          <w:szCs w:val="24"/>
        </w:rPr>
        <w:t xml:space="preserve">района 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469">
        <w:rPr>
          <w:rFonts w:ascii="Times New Roman" w:hAnsi="Times New Roman" w:cs="Times New Roman"/>
          <w:sz w:val="24"/>
          <w:szCs w:val="24"/>
        </w:rPr>
        <w:t xml:space="preserve">Республики Татарстан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E8B">
        <w:rPr>
          <w:rFonts w:ascii="Times New Roman" w:hAnsi="Times New Roman" w:cs="Times New Roman"/>
          <w:sz w:val="24"/>
          <w:szCs w:val="24"/>
        </w:rPr>
        <w:t xml:space="preserve"> </w:t>
      </w:r>
      <w:r w:rsidRPr="007F546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275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7A3E8B">
        <w:rPr>
          <w:rFonts w:ascii="Times New Roman" w:hAnsi="Times New Roman" w:cs="Times New Roman"/>
          <w:sz w:val="24"/>
          <w:szCs w:val="24"/>
        </w:rPr>
        <w:t>Н.А.Вазыхов</w:t>
      </w:r>
      <w:proofErr w:type="spellEnd"/>
      <w:r w:rsidR="007A3E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F546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</w:rPr>
      </w:pPr>
      <w:r w:rsidRPr="007F5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7F5469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7F5469">
        <w:rPr>
          <w:rFonts w:ascii="Times New Roman" w:hAnsi="Times New Roman" w:cs="Times New Roman"/>
        </w:rPr>
        <w:t xml:space="preserve"> (подпись)</w:t>
      </w:r>
    </w:p>
    <w:p w:rsidR="006064A9" w:rsidRDefault="006064A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7F5469" w:rsidRPr="007F5469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7F5469" w:rsidRPr="007F5469">
        <w:rPr>
          <w:rFonts w:ascii="Times New Roman" w:hAnsi="Times New Roman" w:cs="Times New Roman"/>
          <w:sz w:val="24"/>
          <w:szCs w:val="24"/>
        </w:rPr>
        <w:t xml:space="preserve"> отдела </w:t>
      </w:r>
      <w:r>
        <w:rPr>
          <w:rFonts w:ascii="Times New Roman" w:hAnsi="Times New Roman" w:cs="Times New Roman"/>
          <w:sz w:val="24"/>
          <w:szCs w:val="24"/>
        </w:rPr>
        <w:t xml:space="preserve">инфраструктурного развития 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F5469">
        <w:rPr>
          <w:rFonts w:ascii="Times New Roman" w:hAnsi="Times New Roman" w:cs="Times New Roman"/>
          <w:sz w:val="24"/>
          <w:szCs w:val="24"/>
        </w:rPr>
        <w:t>Ис</w:t>
      </w:r>
      <w:r w:rsidR="006064A9">
        <w:rPr>
          <w:rFonts w:ascii="Times New Roman" w:hAnsi="Times New Roman" w:cs="Times New Roman"/>
          <w:sz w:val="24"/>
          <w:szCs w:val="24"/>
        </w:rPr>
        <w:t>полнительного комитета Камско-Устьинского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546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7F5469">
        <w:rPr>
          <w:rFonts w:ascii="Times New Roman" w:hAnsi="Times New Roman" w:cs="Times New Roman"/>
          <w:sz w:val="24"/>
          <w:szCs w:val="24"/>
        </w:rPr>
        <w:t xml:space="preserve"> района Республики Татарстан                              </w:t>
      </w:r>
      <w:proofErr w:type="spellStart"/>
      <w:r w:rsidR="006064A9">
        <w:rPr>
          <w:rFonts w:ascii="Times New Roman" w:hAnsi="Times New Roman" w:cs="Times New Roman"/>
          <w:sz w:val="24"/>
          <w:szCs w:val="24"/>
        </w:rPr>
        <w:t>Ф.М.Мухаммадуллина</w:t>
      </w:r>
      <w:proofErr w:type="spellEnd"/>
      <w:r w:rsidRPr="007F5469">
        <w:rPr>
          <w:rFonts w:ascii="Times New Roman" w:hAnsi="Times New Roman" w:cs="Times New Roman"/>
          <w:sz w:val="24"/>
          <w:szCs w:val="24"/>
        </w:rPr>
        <w:tab/>
      </w:r>
      <w:r w:rsidRPr="007F5469">
        <w:rPr>
          <w:rFonts w:ascii="Times New Roman" w:hAnsi="Times New Roman" w:cs="Times New Roman"/>
          <w:sz w:val="24"/>
          <w:szCs w:val="24"/>
        </w:rPr>
        <w:tab/>
      </w:r>
      <w:r w:rsidRPr="007F5469">
        <w:rPr>
          <w:rFonts w:ascii="Times New Roman" w:hAnsi="Times New Roman" w:cs="Times New Roman"/>
          <w:sz w:val="24"/>
          <w:szCs w:val="24"/>
        </w:rPr>
        <w:tab/>
        <w:t xml:space="preserve">          __</w:t>
      </w:r>
      <w:r w:rsidR="00A5275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</w:rPr>
      </w:pPr>
      <w:r w:rsidRPr="007F5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7F5469">
        <w:rPr>
          <w:rFonts w:ascii="Times New Roman" w:hAnsi="Times New Roman" w:cs="Times New Roman"/>
        </w:rPr>
        <w:t xml:space="preserve"> (подпись)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</w:rPr>
      </w:pP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F5469" w:rsidRPr="007F5469" w:rsidRDefault="006064A9" w:rsidP="007F54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Тел. 8 (84377) 21152</w:t>
      </w:r>
      <w:proofErr w:type="gramStart"/>
      <w:r w:rsidR="007F5469" w:rsidRPr="007F5469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сп.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Мухаммадуллина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Ф.М.</w:t>
      </w:r>
      <w:r w:rsidR="007F5469" w:rsidRPr="007F5469">
        <w:rPr>
          <w:rFonts w:ascii="Times New Roman" w:hAnsi="Times New Roman" w:cs="Times New Roman"/>
          <w:sz w:val="22"/>
          <w:szCs w:val="22"/>
        </w:rPr>
        <w:t xml:space="preserve">  </w:t>
      </w:r>
      <w:r w:rsidR="007F5469" w:rsidRPr="007F5469">
        <w:rPr>
          <w:rFonts w:ascii="Times New Roman" w:hAnsi="Times New Roman" w:cs="Times New Roman"/>
          <w:sz w:val="22"/>
          <w:szCs w:val="22"/>
        </w:rPr>
        <w:tab/>
      </w:r>
      <w:r w:rsidR="007F5469" w:rsidRPr="007F5469">
        <w:rPr>
          <w:rFonts w:ascii="Times New Roman" w:hAnsi="Times New Roman" w:cs="Times New Roman"/>
          <w:sz w:val="22"/>
          <w:szCs w:val="22"/>
        </w:rPr>
        <w:tab/>
      </w:r>
      <w:r w:rsidR="007F5469" w:rsidRPr="007F5469">
        <w:rPr>
          <w:rFonts w:ascii="Times New Roman" w:hAnsi="Times New Roman" w:cs="Times New Roman"/>
          <w:sz w:val="22"/>
          <w:szCs w:val="22"/>
        </w:rPr>
        <w:tab/>
      </w:r>
      <w:r w:rsidR="00D471AE">
        <w:rPr>
          <w:rFonts w:ascii="Times New Roman" w:hAnsi="Times New Roman" w:cs="Times New Roman"/>
          <w:sz w:val="22"/>
          <w:szCs w:val="22"/>
        </w:rPr>
        <w:t>26.01.2021</w:t>
      </w:r>
      <w:r w:rsidR="007F5469" w:rsidRPr="007F5469">
        <w:rPr>
          <w:rFonts w:ascii="Times New Roman" w:hAnsi="Times New Roman" w:cs="Times New Roman"/>
          <w:sz w:val="22"/>
          <w:szCs w:val="22"/>
        </w:rPr>
        <w:t xml:space="preserve"> г.           </w:t>
      </w:r>
    </w:p>
    <w:p w:rsidR="007F5469" w:rsidRPr="007F5469" w:rsidRDefault="007F5469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0CF" w:rsidRPr="001240CF" w:rsidRDefault="001240CF" w:rsidP="007F54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1240CF" w:rsidRPr="001240CF" w:rsidSect="007F5469">
      <w:pgSz w:w="16838" w:h="11905" w:orient="landscape"/>
      <w:pgMar w:top="851" w:right="567" w:bottom="142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CF"/>
    <w:rsid w:val="000347F6"/>
    <w:rsid w:val="000713AC"/>
    <w:rsid w:val="00072BBC"/>
    <w:rsid w:val="0008436D"/>
    <w:rsid w:val="000A6040"/>
    <w:rsid w:val="000B027E"/>
    <w:rsid w:val="000B7F2B"/>
    <w:rsid w:val="000F20BD"/>
    <w:rsid w:val="001240CF"/>
    <w:rsid w:val="0014435E"/>
    <w:rsid w:val="00176FEE"/>
    <w:rsid w:val="00190EC0"/>
    <w:rsid w:val="00250CF4"/>
    <w:rsid w:val="002F206A"/>
    <w:rsid w:val="003B3BCF"/>
    <w:rsid w:val="003C7E4F"/>
    <w:rsid w:val="003D137F"/>
    <w:rsid w:val="004221AE"/>
    <w:rsid w:val="004A407B"/>
    <w:rsid w:val="004A694B"/>
    <w:rsid w:val="00526AB8"/>
    <w:rsid w:val="005B6BB7"/>
    <w:rsid w:val="005C3F85"/>
    <w:rsid w:val="005D5F28"/>
    <w:rsid w:val="006064A9"/>
    <w:rsid w:val="006C1D7D"/>
    <w:rsid w:val="006C3A28"/>
    <w:rsid w:val="006E287B"/>
    <w:rsid w:val="00715FE7"/>
    <w:rsid w:val="00730B0B"/>
    <w:rsid w:val="0073178C"/>
    <w:rsid w:val="00750B36"/>
    <w:rsid w:val="00786785"/>
    <w:rsid w:val="007A2776"/>
    <w:rsid w:val="007A3E8B"/>
    <w:rsid w:val="007B5105"/>
    <w:rsid w:val="007B7945"/>
    <w:rsid w:val="007F5469"/>
    <w:rsid w:val="00A52756"/>
    <w:rsid w:val="00A8782E"/>
    <w:rsid w:val="00AA4FBA"/>
    <w:rsid w:val="00B95E12"/>
    <w:rsid w:val="00C47E41"/>
    <w:rsid w:val="00CB7B63"/>
    <w:rsid w:val="00D46F95"/>
    <w:rsid w:val="00D471AE"/>
    <w:rsid w:val="00D71180"/>
    <w:rsid w:val="00DE7C1C"/>
    <w:rsid w:val="00E26313"/>
    <w:rsid w:val="00E637E6"/>
    <w:rsid w:val="00E669C6"/>
    <w:rsid w:val="00F270CF"/>
    <w:rsid w:val="00F92F14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3D137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D1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D5F28"/>
    <w:pPr>
      <w:spacing w:before="100" w:beforeAutospacing="1" w:after="100" w:afterAutospacing="1" w:line="240" w:lineRule="auto"/>
      <w:ind w:left="652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4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4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4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rsid w:val="003D137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3D13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D13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Balloon Text"/>
    <w:basedOn w:val="a"/>
    <w:link w:val="a7"/>
    <w:uiPriority w:val="99"/>
    <w:semiHidden/>
    <w:unhideWhenUsed/>
    <w:rsid w:val="006C3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A28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5D5F28"/>
    <w:pPr>
      <w:spacing w:before="100" w:beforeAutospacing="1" w:after="100" w:afterAutospacing="1" w:line="240" w:lineRule="auto"/>
      <w:ind w:left="652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mskoye-ustye.tatarstan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B01FCC14AF5E50BC7D6DC1E14D366EF1C953B052A29872FC98C3104F94C95C33FD6158C4TEL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B01FCC14AF5E50BC7D6DC1E14D366EF1C852B65EA29872FC98C3104F94C95C33FD6153TCL0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EF47D36376C51BD43A6374CBBB6D3540D8F5ACF26E24B62FABBCF974A801EA62C6A0CB473FCF42AFAEA86D39BAE2AA4D01E800948D77DA9k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600E9-1472-42AD-B0E5-E46A5CC49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14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Капанова Лилия Рашитовна</dc:creator>
  <cp:lastModifiedBy>F16</cp:lastModifiedBy>
  <cp:revision>15</cp:revision>
  <cp:lastPrinted>2021-02-03T11:18:00Z</cp:lastPrinted>
  <dcterms:created xsi:type="dcterms:W3CDTF">2021-02-01T08:39:00Z</dcterms:created>
  <dcterms:modified xsi:type="dcterms:W3CDTF">2021-02-03T11:45:00Z</dcterms:modified>
</cp:coreProperties>
</file>