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DE" w:rsidRDefault="009A6828" w:rsidP="006B6ADE">
      <w:pPr>
        <w:autoSpaceDE w:val="0"/>
        <w:autoSpaceDN w:val="0"/>
        <w:adjustRightInd w:val="0"/>
        <w:spacing w:before="120" w:after="120"/>
        <w:ind w:firstLine="567"/>
        <w:jc w:val="center"/>
        <w:rPr>
          <w:b/>
          <w:bCs/>
          <w:color w:val="000000"/>
          <w:sz w:val="28"/>
          <w:szCs w:val="28"/>
        </w:rPr>
      </w:pPr>
      <w:r>
        <w:rPr>
          <w:b/>
          <w:bCs/>
          <w:color w:val="000000"/>
          <w:sz w:val="28"/>
          <w:szCs w:val="28"/>
        </w:rPr>
        <w:t>Управление ПФР по Камско-Устьинскому и Апастовскому районам РТ принимает</w:t>
      </w:r>
      <w:r w:rsidR="006B6ADE">
        <w:rPr>
          <w:b/>
          <w:bCs/>
          <w:color w:val="000000"/>
          <w:sz w:val="28"/>
          <w:szCs w:val="28"/>
        </w:rPr>
        <w:t xml:space="preserve"> </w:t>
      </w:r>
      <w:r w:rsidR="006B6ADE" w:rsidRPr="00E466DC">
        <w:rPr>
          <w:b/>
          <w:bCs/>
          <w:color w:val="000000"/>
          <w:sz w:val="28"/>
          <w:szCs w:val="28"/>
        </w:rPr>
        <w:t>заявлени</w:t>
      </w:r>
      <w:r>
        <w:rPr>
          <w:b/>
          <w:bCs/>
          <w:color w:val="000000"/>
          <w:sz w:val="28"/>
          <w:szCs w:val="28"/>
        </w:rPr>
        <w:t>я</w:t>
      </w:r>
      <w:bookmarkStart w:id="0" w:name="_GoBack"/>
      <w:bookmarkEnd w:id="0"/>
      <w:r w:rsidR="006B6ADE" w:rsidRPr="00E466DC">
        <w:rPr>
          <w:b/>
          <w:bCs/>
          <w:color w:val="000000"/>
          <w:sz w:val="28"/>
          <w:szCs w:val="28"/>
        </w:rPr>
        <w:t xml:space="preserve"> на единовременную выплату из средств материнского капитала</w:t>
      </w:r>
    </w:p>
    <w:p w:rsidR="006B6ADE" w:rsidRPr="00552DAB" w:rsidRDefault="006B6ADE" w:rsidP="006B6ADE">
      <w:pPr>
        <w:autoSpaceDE w:val="0"/>
        <w:autoSpaceDN w:val="0"/>
        <w:adjustRightInd w:val="0"/>
        <w:spacing w:before="120" w:after="120"/>
        <w:ind w:firstLine="567"/>
        <w:jc w:val="center"/>
        <w:rPr>
          <w:b/>
          <w:bCs/>
          <w:color w:val="000000"/>
          <w:sz w:val="28"/>
          <w:szCs w:val="28"/>
        </w:rPr>
      </w:pPr>
    </w:p>
    <w:p w:rsidR="006B6ADE" w:rsidRDefault="006B6ADE" w:rsidP="006B6ADE">
      <w:pPr>
        <w:autoSpaceDE w:val="0"/>
        <w:autoSpaceDN w:val="0"/>
        <w:adjustRightInd w:val="0"/>
        <w:spacing w:before="60" w:after="60"/>
        <w:ind w:firstLine="567"/>
        <w:jc w:val="both"/>
        <w:rPr>
          <w:color w:val="000000"/>
        </w:rPr>
      </w:pPr>
      <w:r>
        <w:rPr>
          <w:color w:val="000000"/>
        </w:rPr>
        <w:t>Управление ПФР по Камско-Устьинскому и Апастовскому районам РТ</w:t>
      </w:r>
      <w:r>
        <w:rPr>
          <w:color w:val="000000"/>
        </w:rPr>
        <w:t xml:space="preserve"> приняло </w:t>
      </w:r>
      <w:r>
        <w:rPr>
          <w:color w:val="000000"/>
        </w:rPr>
        <w:t>74</w:t>
      </w:r>
      <w:r>
        <w:rPr>
          <w:color w:val="000000"/>
        </w:rPr>
        <w:t xml:space="preserve"> заявлени</w:t>
      </w:r>
      <w:r>
        <w:rPr>
          <w:color w:val="000000"/>
        </w:rPr>
        <w:t>я</w:t>
      </w:r>
      <w:r>
        <w:rPr>
          <w:color w:val="000000"/>
        </w:rPr>
        <w:t xml:space="preserve"> на единовременную выплату из средств материнского капитала на сумму </w:t>
      </w:r>
      <w:r>
        <w:rPr>
          <w:color w:val="000000"/>
        </w:rPr>
        <w:t>1,48</w:t>
      </w:r>
      <w:r>
        <w:rPr>
          <w:color w:val="000000"/>
        </w:rPr>
        <w:t xml:space="preserve"> млн. рублей. Единовременная выплата предусмотрена </w:t>
      </w:r>
      <w:hyperlink r:id="rId8" w:history="1">
        <w:r>
          <w:rPr>
            <w:color w:val="000000"/>
          </w:rPr>
          <w:t>Планом первоочередных мероприятий</w:t>
        </w:r>
      </w:hyperlink>
      <w:r>
        <w:rPr>
          <w:color w:val="000000"/>
        </w:rPr>
        <w:t xml:space="preserve"> по обеспечению устойчивого развития экономики и социальной стабильности в 2015 году.</w:t>
      </w:r>
    </w:p>
    <w:p w:rsidR="006B6ADE" w:rsidRDefault="006B6ADE" w:rsidP="006B6ADE">
      <w:pPr>
        <w:autoSpaceDE w:val="0"/>
        <w:autoSpaceDN w:val="0"/>
        <w:adjustRightInd w:val="0"/>
        <w:spacing w:before="60" w:after="60"/>
        <w:ind w:firstLine="567"/>
        <w:jc w:val="both"/>
        <w:rPr>
          <w:color w:val="000000"/>
        </w:rPr>
      </w:pPr>
      <w:r>
        <w:rPr>
          <w:color w:val="000000"/>
        </w:rPr>
        <w:t xml:space="preserve">20 апреля текущего года был принят закон, который позволяет за счёт средств материнского капитала проводить единовременные выплаты в размере 20 </w:t>
      </w:r>
      <w:r w:rsidRPr="00F90618">
        <w:rPr>
          <w:color w:val="000000"/>
        </w:rPr>
        <w:t>000</w:t>
      </w:r>
      <w:r>
        <w:rPr>
          <w:color w:val="000000"/>
        </w:rPr>
        <w:t xml:space="preserve"> рублей всем, кто имеет право на материнский капитал, причем это право может возникнуть до 31 декабря текущего года.</w:t>
      </w:r>
    </w:p>
    <w:p w:rsidR="006B6ADE" w:rsidRDefault="006B6ADE" w:rsidP="006B6ADE">
      <w:pPr>
        <w:autoSpaceDE w:val="0"/>
        <w:autoSpaceDN w:val="0"/>
        <w:adjustRightInd w:val="0"/>
        <w:spacing w:before="60" w:after="60"/>
        <w:ind w:firstLine="567"/>
        <w:jc w:val="both"/>
        <w:rPr>
          <w:color w:val="000000"/>
        </w:rPr>
      </w:pPr>
      <w:r>
        <w:rPr>
          <w:color w:val="000000"/>
        </w:rPr>
        <w:t xml:space="preserve">Напомним, воспользоваться правом на получение единовременной выплаты могут проживающие на территории Российской Федерации семьи, которые получили или получат право на материнский сертификат по состоянию на 31 декабря 2015 года и не использовали всю сумму материнского капитала на основные направления расходования средств. Желающим получить единовременную выплату заявление в </w:t>
      </w:r>
      <w:r w:rsidR="009A6828">
        <w:rPr>
          <w:color w:val="000000"/>
        </w:rPr>
        <w:t xml:space="preserve">Управление </w:t>
      </w:r>
      <w:r>
        <w:rPr>
          <w:color w:val="000000"/>
        </w:rPr>
        <w:t>ПФР необходимо подать не позднее 31 марта 2016 года.</w:t>
      </w:r>
    </w:p>
    <w:p w:rsidR="006B6ADE" w:rsidRDefault="006B6ADE" w:rsidP="006B6ADE">
      <w:pPr>
        <w:autoSpaceDE w:val="0"/>
        <w:autoSpaceDN w:val="0"/>
        <w:adjustRightInd w:val="0"/>
        <w:spacing w:before="60" w:after="60"/>
        <w:ind w:firstLine="567"/>
        <w:jc w:val="both"/>
        <w:rPr>
          <w:color w:val="000000"/>
        </w:rPr>
      </w:pPr>
      <w:r>
        <w:rPr>
          <w:color w:val="000000"/>
        </w:rPr>
        <w:t>Подать заявление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6B6ADE" w:rsidRPr="006B6ADE" w:rsidRDefault="006B6ADE" w:rsidP="006B6ADE">
      <w:pPr>
        <w:autoSpaceDE w:val="0"/>
        <w:autoSpaceDN w:val="0"/>
        <w:adjustRightInd w:val="0"/>
        <w:spacing w:before="60" w:after="60"/>
        <w:ind w:firstLine="567"/>
        <w:jc w:val="both"/>
        <w:rPr>
          <w:color w:val="000000"/>
        </w:rPr>
      </w:pPr>
      <w:r>
        <w:rPr>
          <w:color w:val="000000"/>
        </w:rPr>
        <w:t>В заявлении необходимо указать номер СНИЛС, а также серию и номер сертификата на материнский капитал. Также при себе необходимо иметь документ, удостоверяющий личность, и документ, подтверждающий открытие счета, содержащий сведения о реквизитах счета, на который в двухмесячный срок единым платежом будут перечислены 20 000 рублей или сумма остатка на счете владельца сертификата, если она составляет менее 20 000 рублей. Эти деньги семьи смогут использовать на повседневные нужды.</w:t>
      </w:r>
    </w:p>
    <w:p w:rsidR="009A6828" w:rsidRDefault="009A6828" w:rsidP="0000223D">
      <w:pPr>
        <w:jc w:val="right"/>
      </w:pPr>
    </w:p>
    <w:p w:rsidR="0000223D" w:rsidRDefault="0000223D" w:rsidP="0000223D">
      <w:pPr>
        <w:jc w:val="right"/>
      </w:pPr>
      <w: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9A6828" w:rsidRDefault="009A6828" w:rsidP="00FB58AE">
      <w:pPr>
        <w:rPr>
          <w:b/>
          <w:sz w:val="22"/>
          <w:szCs w:val="22"/>
        </w:rPr>
      </w:pP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9"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10"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C74FFD" w:rsidRDefault="00FB58AE" w:rsidP="00FB58AE">
      <w:pPr>
        <w:rPr>
          <w:b/>
          <w:i/>
        </w:rPr>
      </w:pPr>
      <w:r>
        <w:t>Пресс-служба ОПФР по РТ</w:t>
      </w:r>
      <w:r w:rsidRPr="00E80FB3">
        <w:t>:</w:t>
      </w:r>
      <w:r>
        <w:t xml:space="preserve"> </w:t>
      </w:r>
      <w:r w:rsidRPr="00E80FB3">
        <w:t>279-25-11,279-25-13</w:t>
      </w:r>
    </w:p>
    <w:p w:rsidR="009600C7" w:rsidRPr="00FB58AE" w:rsidRDefault="0000223D" w:rsidP="0061510B">
      <w:pPr>
        <w:autoSpaceDE w:val="0"/>
        <w:autoSpaceDN w:val="0"/>
        <w:adjustRightInd w:val="0"/>
        <w:spacing w:before="120" w:after="120"/>
        <w:jc w:val="both"/>
      </w:pPr>
      <w:r>
        <w:rPr>
          <w:sz w:val="28"/>
          <w:szCs w:val="28"/>
        </w:rPr>
        <w:t>Клиентская служба Управления ПФР 2-15-91,  074.</w:t>
      </w:r>
    </w:p>
    <w:sectPr w:rsidR="009600C7" w:rsidRPr="00FB58AE" w:rsidSect="0061510B">
      <w:headerReference w:type="default" r:id="rId11"/>
      <w:footerReference w:type="even" r:id="rId12"/>
      <w:footerReference w:type="default" r:id="rId13"/>
      <w:pgSz w:w="11906" w:h="16838" w:code="9"/>
      <w:pgMar w:top="2127"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49" w:rsidRDefault="00FA0D49">
      <w:r>
        <w:separator/>
      </w:r>
    </w:p>
  </w:endnote>
  <w:endnote w:type="continuationSeparator" w:id="0">
    <w:p w:rsidR="00FA0D49" w:rsidRDefault="00FA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4"/>
      <w:ind w:right="360"/>
    </w:pPr>
    <w:r>
      <w:rPr>
        <w:noProof/>
      </w:rPr>
      <mc:AlternateContent>
        <mc:Choice Requires="wps">
          <w:drawing>
            <wp:anchor distT="0" distB="0" distL="114300" distR="114300" simplePos="0" relativeHeight="251658752" behindDoc="0" locked="0" layoutInCell="0" allowOverlap="1" wp14:anchorId="08FF37B5" wp14:editId="4208DB1E">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49" w:rsidRDefault="00FA0D49">
      <w:r>
        <w:separator/>
      </w:r>
    </w:p>
  </w:footnote>
  <w:footnote w:type="continuationSeparator" w:id="0">
    <w:p w:rsidR="00FA0D49" w:rsidRDefault="00FA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3"/>
    </w:pPr>
    <w:r>
      <w:rPr>
        <w:noProof/>
      </w:rPr>
      <mc:AlternateContent>
        <mc:Choice Requires="wps">
          <w:drawing>
            <wp:anchor distT="0" distB="0" distL="114300" distR="114300" simplePos="0" relativeHeight="251656704" behindDoc="0" locked="0" layoutInCell="1" allowOverlap="1" wp14:anchorId="6624861A" wp14:editId="223974C8">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14:anchorId="1141CE43" wp14:editId="24929D42">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7A7BA4E" wp14:editId="68A3073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5157E03B" wp14:editId="334213D2">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1052B8"/>
    <w:rsid w:val="00117268"/>
    <w:rsid w:val="001256FA"/>
    <w:rsid w:val="001320F8"/>
    <w:rsid w:val="00144B02"/>
    <w:rsid w:val="001A4412"/>
    <w:rsid w:val="001B098B"/>
    <w:rsid w:val="001E30F9"/>
    <w:rsid w:val="00201251"/>
    <w:rsid w:val="002100EE"/>
    <w:rsid w:val="00225DFF"/>
    <w:rsid w:val="00264D6C"/>
    <w:rsid w:val="00280FE0"/>
    <w:rsid w:val="00294E32"/>
    <w:rsid w:val="002C18B5"/>
    <w:rsid w:val="002C2D38"/>
    <w:rsid w:val="002C666F"/>
    <w:rsid w:val="002D5D14"/>
    <w:rsid w:val="002E0D42"/>
    <w:rsid w:val="002F0B8A"/>
    <w:rsid w:val="003051D7"/>
    <w:rsid w:val="003147F4"/>
    <w:rsid w:val="00316533"/>
    <w:rsid w:val="0034279B"/>
    <w:rsid w:val="00373512"/>
    <w:rsid w:val="00381692"/>
    <w:rsid w:val="003A1834"/>
    <w:rsid w:val="004143A2"/>
    <w:rsid w:val="00435CF7"/>
    <w:rsid w:val="00467B1A"/>
    <w:rsid w:val="00476122"/>
    <w:rsid w:val="004811C1"/>
    <w:rsid w:val="004B11A7"/>
    <w:rsid w:val="004C3D7F"/>
    <w:rsid w:val="004F4717"/>
    <w:rsid w:val="004F7A35"/>
    <w:rsid w:val="00567650"/>
    <w:rsid w:val="00586C2F"/>
    <w:rsid w:val="005A5978"/>
    <w:rsid w:val="005B5025"/>
    <w:rsid w:val="005C7AFF"/>
    <w:rsid w:val="005E313B"/>
    <w:rsid w:val="005E77B4"/>
    <w:rsid w:val="005E7FEB"/>
    <w:rsid w:val="0061510B"/>
    <w:rsid w:val="00626C32"/>
    <w:rsid w:val="00644024"/>
    <w:rsid w:val="00666EDB"/>
    <w:rsid w:val="00682E0B"/>
    <w:rsid w:val="006843D3"/>
    <w:rsid w:val="006B6ADE"/>
    <w:rsid w:val="006E1054"/>
    <w:rsid w:val="00744B1D"/>
    <w:rsid w:val="00760EA0"/>
    <w:rsid w:val="007932D9"/>
    <w:rsid w:val="00826C45"/>
    <w:rsid w:val="0084085D"/>
    <w:rsid w:val="00840F79"/>
    <w:rsid w:val="00846722"/>
    <w:rsid w:val="00853B5A"/>
    <w:rsid w:val="00873AA1"/>
    <w:rsid w:val="00884751"/>
    <w:rsid w:val="00892F1F"/>
    <w:rsid w:val="00896D5A"/>
    <w:rsid w:val="008F3805"/>
    <w:rsid w:val="0090129E"/>
    <w:rsid w:val="009179F8"/>
    <w:rsid w:val="009368D7"/>
    <w:rsid w:val="009513CE"/>
    <w:rsid w:val="00954A9A"/>
    <w:rsid w:val="009600C7"/>
    <w:rsid w:val="0096331B"/>
    <w:rsid w:val="009A6828"/>
    <w:rsid w:val="009C78EF"/>
    <w:rsid w:val="009D11C1"/>
    <w:rsid w:val="009D1981"/>
    <w:rsid w:val="00A23A1D"/>
    <w:rsid w:val="00A47083"/>
    <w:rsid w:val="00A6033F"/>
    <w:rsid w:val="00A63BF2"/>
    <w:rsid w:val="00A667D4"/>
    <w:rsid w:val="00A74DC8"/>
    <w:rsid w:val="00A75CA7"/>
    <w:rsid w:val="00A90F35"/>
    <w:rsid w:val="00AA682E"/>
    <w:rsid w:val="00AF3462"/>
    <w:rsid w:val="00AF51EF"/>
    <w:rsid w:val="00B07147"/>
    <w:rsid w:val="00B24F25"/>
    <w:rsid w:val="00B4783E"/>
    <w:rsid w:val="00B73E42"/>
    <w:rsid w:val="00B83DB0"/>
    <w:rsid w:val="00BA11A5"/>
    <w:rsid w:val="00BA7FA9"/>
    <w:rsid w:val="00BB1DE5"/>
    <w:rsid w:val="00BC7670"/>
    <w:rsid w:val="00BF2203"/>
    <w:rsid w:val="00C12716"/>
    <w:rsid w:val="00C13B3E"/>
    <w:rsid w:val="00C202AD"/>
    <w:rsid w:val="00C31FD6"/>
    <w:rsid w:val="00C86A34"/>
    <w:rsid w:val="00C94A06"/>
    <w:rsid w:val="00CA68C6"/>
    <w:rsid w:val="00D16CAD"/>
    <w:rsid w:val="00D90D45"/>
    <w:rsid w:val="00DD1166"/>
    <w:rsid w:val="00E300E4"/>
    <w:rsid w:val="00E70AE5"/>
    <w:rsid w:val="00E7280F"/>
    <w:rsid w:val="00E85DA6"/>
    <w:rsid w:val="00EB0F3E"/>
    <w:rsid w:val="00EC719F"/>
    <w:rsid w:val="00EE6391"/>
    <w:rsid w:val="00F5581F"/>
    <w:rsid w:val="00F617B0"/>
    <w:rsid w:val="00F66A08"/>
    <w:rsid w:val="00F93A3C"/>
    <w:rsid w:val="00FA0D49"/>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16639/"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frrt.ru" TargetMode="External"/><Relationship Id="rId4" Type="http://schemas.openxmlformats.org/officeDocument/2006/relationships/settings" Target="settings.xml"/><Relationship Id="rId9" Type="http://schemas.openxmlformats.org/officeDocument/2006/relationships/hyperlink" Target="http://www.pfrf.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2324</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210-0202</cp:lastModifiedBy>
  <cp:revision>2</cp:revision>
  <cp:lastPrinted>2015-05-05T10:22:00Z</cp:lastPrinted>
  <dcterms:created xsi:type="dcterms:W3CDTF">2015-06-23T12:52:00Z</dcterms:created>
  <dcterms:modified xsi:type="dcterms:W3CDTF">2015-06-23T12:52:00Z</dcterms:modified>
</cp:coreProperties>
</file>