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ТОГИ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4 июл</w:t>
      </w:r>
      <w:r>
        <w:rPr>
          <w:rFonts w:ascii="Times New Roman" w:hAnsi="Times New Roman" w:cs="Times New Roman"/>
          <w:b/>
          <w:sz w:val="24"/>
          <w:szCs w:val="24"/>
        </w:rPr>
        <w:t xml:space="preserve"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иных нормативно-правовых актов РФ.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проводи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ТОГИ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16:22:020409:295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МО «пгт.Камское Устье», пгт.Камское Устье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25165,46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пять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то шестьдесят 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ек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5033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рубля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тридцать три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754,96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Семьсот пятьдесят четыре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1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принято решение об отказе в допуске к участию</w:t>
            </w:r>
            <w:r>
              <w:rPr>
                <w:sz w:val="22"/>
                <w:szCs w:val="22"/>
              </w:rPr>
              <w:t xml:space="preserve"> в аукционе</w:t>
            </w:r>
            <w:r>
              <w:rPr>
                <w:sz w:val="22"/>
                <w:szCs w:val="22"/>
              </w:rPr>
              <w:t xml:space="preserve"> всех заявителей по </w:t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1439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16:22:150101:571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Кирельское сельское поселение, с.Кирельское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2"/>
                <w:szCs w:val="22"/>
              </w:rPr>
              <w:t xml:space="preserve">48145,89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</w:t>
            </w:r>
            <w:r>
              <w:rPr>
                <w:sz w:val="22"/>
                <w:szCs w:val="22"/>
              </w:rPr>
              <w:t xml:space="preserve">рок 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сто</w:t>
            </w:r>
            <w:r>
              <w:rPr>
                <w:sz w:val="22"/>
                <w:szCs w:val="22"/>
              </w:rPr>
              <w:t xml:space="preserve"> сорок </w:t>
            </w:r>
            <w:r>
              <w:rPr>
                <w:sz w:val="22"/>
                <w:szCs w:val="22"/>
              </w:rPr>
              <w:t xml:space="preserve">пят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9629 рублей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Девять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шестьсот двадцать девять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1444,3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Одна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четыреста сорок четыре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участник аукциона: </w:t>
            </w:r>
            <w:r>
              <w:rPr>
                <w:sz w:val="22"/>
                <w:szCs w:val="22"/>
              </w:rPr>
              <w:t xml:space="preserve">Ш</w:t>
            </w:r>
            <w:r>
              <w:rPr>
                <w:sz w:val="22"/>
                <w:szCs w:val="22"/>
              </w:rPr>
              <w:t xml:space="preserve">айдуллин М.Р.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2"/>
                <w:szCs w:val="22"/>
              </w:rPr>
              <w:t xml:space="preserve">48145,89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3: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1421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16:22:150101:569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Кирельское сельское поселение, с.Кирельское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2"/>
                <w:szCs w:val="22"/>
              </w:rPr>
              <w:t xml:space="preserve">46839,88 </w:t>
            </w:r>
            <w:r>
              <w:rPr>
                <w:sz w:val="22"/>
                <w:szCs w:val="22"/>
              </w:rPr>
              <w:t xml:space="preserve">рублей (Сорок 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тысяч </w:t>
            </w:r>
            <w:r>
              <w:rPr>
                <w:sz w:val="22"/>
                <w:szCs w:val="22"/>
              </w:rPr>
              <w:t xml:space="preserve">восемьсот тридцать девять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8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 xml:space="preserve">368</w:t>
            </w:r>
            <w:r>
              <w:rPr>
                <w:sz w:val="22"/>
                <w:szCs w:val="22"/>
              </w:rPr>
              <w:t xml:space="preserve"> рублей (Девять тысяч </w:t>
            </w:r>
            <w:r>
              <w:rPr>
                <w:sz w:val="22"/>
                <w:szCs w:val="22"/>
              </w:rPr>
              <w:t xml:space="preserve">триста шестьдесят восемь </w:t>
            </w:r>
            <w:r>
              <w:rPr>
                <w:sz w:val="22"/>
                <w:szCs w:val="22"/>
              </w:rPr>
              <w:t xml:space="preserve">рублей).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 xml:space="preserve">05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(Одна тысяча четыреста 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участник аукциона: </w:t>
            </w:r>
            <w:r>
              <w:rPr>
                <w:sz w:val="22"/>
                <w:szCs w:val="22"/>
              </w:rPr>
              <w:t xml:space="preserve">Тюшевский О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2"/>
                <w:szCs w:val="22"/>
              </w:rPr>
              <w:t xml:space="preserve">46839,88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4: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16:22:150101:574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Кирельское сельское поселение, с.Кирельское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, ул.Нижняя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29844,92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девять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восемьсот сорок четыре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5969</w:t>
            </w:r>
            <w:r>
              <w:rPr>
                <w:sz w:val="22"/>
                <w:szCs w:val="22"/>
              </w:rPr>
              <w:t xml:space="preserve"> рублей (</w:t>
            </w:r>
            <w:r>
              <w:rPr>
                <w:sz w:val="22"/>
                <w:szCs w:val="22"/>
              </w:rPr>
              <w:t xml:space="preserve">Пять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девятьсот шестьдесят </w:t>
            </w:r>
            <w:r>
              <w:rPr>
                <w:sz w:val="22"/>
                <w:szCs w:val="22"/>
              </w:rPr>
              <w:t xml:space="preserve">девять рублей).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895</w:t>
            </w:r>
            <w:r>
              <w:rPr>
                <w:sz w:val="22"/>
                <w:szCs w:val="22"/>
              </w:rPr>
              <w:t xml:space="preserve">,3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Восемьсот девяносто пять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участник аукциона: 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екмухамедов</w:t>
            </w:r>
            <w:r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29844,92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  <w:style w:type="table" w:styleId="UserStyle_53">
    <w:name w:val="List Table 1 Light - Accent 1"/>
    <w:basedOn w:val="TableNormal"/>
    <w:next w:val="UserStyle_53"/>
    <w:link w:val="Normal"/>
    <w:uiPriority w:val="99"/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4993</Characters>
  <CharactersWithSpaces>5857</CharactersWithSpaces>
  <Company>Microsoft</Company>
  <DocSecurity>0</DocSecurity>
  <HyperlinksChanged>false</HyperlinksChanged>
  <Lines>41</Lines>
  <Pages>2</Pages>
  <Paragraphs>11</Paragraphs>
  <ScaleCrop>false</ScaleCrop>
  <SharedDoc>false</SharedDoc>
  <Template>Normal.dotm</Template>
  <Words>875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4</cp:revision>
  <dcterms:created xsi:type="dcterms:W3CDTF">2025-07-22T07:26:00Z</dcterms:created>
  <dcterms:modified xsi:type="dcterms:W3CDTF">2025-07-23T06:27:00Z</dcterms:modified>
  <cp:version>917504</cp:version>
</cp:coreProperties>
</file>