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2"/>
        <w:gridCol w:w="1412"/>
        <w:gridCol w:w="4014"/>
      </w:tblGrid>
      <w:tr>
        <w:trPr>
          <w:trHeight w:val="3117" w:hRule="exact"/>
        </w:trPr>
        <w:tc>
          <w:tcPr>
            <w:tcW w:w="4372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Руководитель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ИСПОЛНИТЕЛЬНОГО КОМИТЕТА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caps/>
                <w:sz w:val="28"/>
                <w:szCs w:val="28"/>
              </w:rPr>
              <w:t xml:space="preserve">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>
              <w:rPr>
                <w:b/>
                <w:caps/>
                <w:sz w:val="28"/>
                <w:szCs w:val="28"/>
              </w:rPr>
              <w:t>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Карла Маркса, д.1А,                                                       пгт. Камское Устье, 422820</w:t>
            </w:r>
          </w:p>
        </w:tc>
        <w:tc>
          <w:tcPr>
            <w:tcW w:w="1412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23900" cy="90043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ТАТАРСТАН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КАМА ТАМАГЫ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МУНИЦИПАЛЬ РАЙОНЫ 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4"/>
                <w:lang w:val="tt-RU"/>
              </w:rPr>
              <w:t>Җ</w:t>
            </w:r>
            <w:r>
              <w:rPr>
                <w:b/>
                <w:sz w:val="28"/>
                <w:szCs w:val="24"/>
              </w:rPr>
              <w:t>ИТ</w:t>
            </w:r>
            <w:r>
              <w:rPr>
                <w:b/>
                <w:sz w:val="28"/>
                <w:szCs w:val="24"/>
                <w:lang w:val="tt-RU"/>
              </w:rPr>
              <w:t>Ә</w:t>
            </w:r>
            <w:r>
              <w:rPr>
                <w:b/>
                <w:sz w:val="28"/>
                <w:szCs w:val="24"/>
              </w:rPr>
              <w:t>КЧЕСЕ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>Карл Маркс урамы, 1А йорт,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штп. Кама Тамагы, 422820</w:t>
            </w:r>
          </w:p>
        </w:tc>
      </w:tr>
      <w:tr>
        <w:trPr>
          <w:trHeight w:val="411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тел.: (</w:t>
            </w: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 xml:space="preserve">84377) 2-00-20,  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Kamuste.Ispolkom@tatar.ru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http</w:t>
            </w:r>
            <w:r>
              <w:rPr>
                <w:sz w:val="20"/>
              </w:rPr>
              <w:t>://</w:t>
            </w:r>
            <w:r>
              <w:rPr>
                <w:sz w:val="20"/>
                <w:lang w:val="en-US"/>
              </w:rPr>
              <w:t>kamskoye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ustye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tatarstan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360"/>
        <w:ind w:firstLine="708"/>
        <w:rPr>
          <w:b/>
          <w:bCs/>
          <w:sz w:val="28"/>
          <w:szCs w:val="28"/>
          <w:highlight w:val="none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rPr>
          <w:b/>
          <w:bCs/>
          <w:sz w:val="28"/>
          <w:szCs w:val="28"/>
          <w:highlight w:val="none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ind w:firstLine="708"/>
        <w:rPr>
          <w:sz w:val="28"/>
          <w:szCs w:val="28"/>
          <w:lang w:eastAsia="ru-RU"/>
        </w:rPr>
      </w:pPr>
      <w:r>
        <w:rPr/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12.12.2025</w:t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№</w:t>
      </w:r>
      <w:r>
        <w:rPr>
          <w:rFonts w:eastAsia="PT Astra Serif" w:cs="PT Astra Serif" w:ascii="PT Astra Serif" w:hAnsi="PT Astra Serif"/>
          <w:sz w:val="28"/>
          <w:szCs w:val="28"/>
        </w:rPr>
        <w:t>69</w:t>
      </w:r>
      <w:r>
        <w:rPr>
          <w:rFonts w:eastAsia="PT Astra Serif" w:cs="PT Astra Serif" w:ascii="PT Astra Serif" w:hAnsi="PT Astra Serif"/>
          <w:sz w:val="28"/>
          <w:szCs w:val="28"/>
          <w:highlight w:val="white"/>
        </w:rPr>
        <w:t>7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25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руководителя Исполнительного комитета Камско- Устьинского муниципального района Республики Татарстан от 26.02.2008 № 126 «О создании аукционной комиссии по проведению торгов по продаже муниципального имущества и заключения договоров аренды земельных участков»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в целях эффективной деятельности аукционной комиссии по продаже муниципального имущества и заключения договоров аренды земельных участков, Исполнительный комитет Камско-Устьинского муниципального района Республики Татарстан 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аукционную комиссию по проведению торгов по продаже муниципального имущества и заключения договоров аренды земельных участков, утвержденную постановлением руководителя Исполнительного комитета Камско-Устьинского муниципального района от 26.02.2008 № 126 и утвердить в следующем составе:</w:t>
      </w:r>
    </w:p>
    <w:p>
      <w:pPr>
        <w:pStyle w:val="ListParagraph"/>
        <w:ind w:left="106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7"/>
        <w:gridCol w:w="7200"/>
      </w:tblGrid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 А.Ю.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Камско-Устьинского муниципального района Республики Татарстан, председатель комиссии;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pBdr/>
              <w:rPr/>
            </w:pPr>
            <w:r>
              <w:rPr>
                <w:color w:val="000000"/>
                <w:sz w:val="28"/>
              </w:rPr>
              <w:t>Вязникова И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имущественных и земельных отношений Камско-Устьинского муниципального района, заместитель председателя комиссии;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Ахмадуллина 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pBdr/>
              <w:jc w:val="both"/>
              <w:rPr/>
            </w:pPr>
            <w:r>
              <w:rPr>
                <w:color w:val="000000"/>
                <w:sz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палаты имущественных и земельных отношений Камско-Устьинского муниципального района, секретарь комиссии;</w:t>
            </w:r>
          </w:p>
        </w:tc>
      </w:tr>
      <w:tr>
        <w:trPr/>
        <w:tc>
          <w:tcPr>
            <w:tcW w:w="9717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8"/>
              </w:rPr>
              <w:t>Гафиатуллина Г.А.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pBdr/>
              <w:spacing w:lineRule="atLeast" w:line="253"/>
              <w:jc w:val="both"/>
              <w:rPr/>
            </w:pPr>
            <w:r>
              <w:rPr>
                <w:color w:val="000000"/>
                <w:sz w:val="28"/>
              </w:rPr>
              <w:t>начальник отдела инфраструктурного развития Исполнительного комитета Камско-Устьинского муниципального района Республики Татарстан;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Э.Ф.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аппарата Совета Камско-Устьинского муниципального района (по согласованию);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Исмагилов 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производственного отдела Управления сельского хозяйства и продовольствия Камско-Устьинского района (по согласованию);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Идрисова Р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территориального планирования исполнительного комитета Камско-Устьинского муниципального района.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Разместить на официальном сайте Камско- Устьинского муниципального района Республики Татарстан в информационно- телекоммуникационной сети «Интернет».</w:t>
      </w:r>
    </w:p>
    <w:p>
      <w:pPr>
        <w:pStyle w:val="Normal"/>
        <w:tabs>
          <w:tab w:val="clear" w:pos="708"/>
          <w:tab w:val="left" w:pos="426" w:leader="none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Контроль за исполнением настоящего распоряжения оставляю за собой.</w:t>
      </w:r>
    </w:p>
    <w:p>
      <w:pPr>
        <w:pStyle w:val="Normal"/>
        <w:ind w:left="126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126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left="142" w:hang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А.Ю. Салимов </w:t>
      </w:r>
    </w:p>
    <w:p>
      <w:pPr>
        <w:pStyle w:val="Normal"/>
        <w:ind w:left="126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6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16"/>
    <w:pPr/>
    <w:rPr/>
  </w:style>
  <w:style w:type="paragraph" w:styleId="Style29">
    <w:name w:val="TOC Heading"/>
    <w:uiPriority w:val="39"/>
    <w:unhideWhenUsed/>
    <w:pPr>
      <w:widowControl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ConsPlusTitle" w:customStyle="1">
    <w:name w:val="ConsPlusTitle"/>
    <w:qFormat/>
    <w:pPr>
      <w:widowControl w:val="false"/>
      <w:pBdr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bidi="ar-SA" w:val="ru-RU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2</Pages>
  <Words>267</Words>
  <Characters>2271</Characters>
  <CharactersWithSpaces>2746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2026-02-03T12:24:00Z</dcterms:created>
  <dc:creator>User</dc:creator>
  <dc:description/>
  <dc:language>ru-RU</dc:language>
  <cp:lastModifiedBy/>
  <dcterms:modified xsi:type="dcterms:W3CDTF">2026-02-04T05:41:06Z</dcterms:modified>
  <cp:revision>4</cp:revision>
  <dc:subject/>
  <dc:title>Об утверждении аукционной комиссии</dc:title>
</cp:coreProperties>
</file>