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bookmarkStart w:id="10" w:name="_Toc256182835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ЗВЕЩЕНИЕ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27 февраля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202</w:t>
      </w:r>
      <w:r>
        <w:rPr>
          <w:rFonts w:ascii="Times New Roman" w:hAnsi="Times New Roman" w:cs="Times New Roman"/>
          <w:b/>
          <w:sz w:val="22"/>
          <w:szCs w:val="22"/>
        </w:rPr>
        <w:t xml:space="preserve">6</w:t>
      </w:r>
      <w:r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</w:t>
            </w:r>
            <w:r>
              <w:rPr>
                <w:sz w:val="22"/>
                <w:szCs w:val="22"/>
              </w:rPr>
              <w:t xml:space="preserve">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аренды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иных нормативно-правовых актов РФ.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 проведении аукциона на право заключения договоров аренды земельных участков»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ИНФОРМАЦИЯ О ЛОТАХ: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16:22:050301:522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Большекляринское сельское поселение, д.Челны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(размер ежегодной арендной платы):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22336,42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две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триста </w:t>
            </w:r>
            <w:r>
              <w:rPr>
                <w:sz w:val="22"/>
                <w:szCs w:val="22"/>
              </w:rPr>
              <w:t xml:space="preserve">тридцать 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4467,28 рублей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четыреста шестьдесят семь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28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670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Шестьсот семьдесят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4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имеются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участок расположен в территориальной зоне - Ж1 - Зона застройки индивидуальными жилыми домами.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Установлен градостроительный регламент.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Правила земл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пользования и застройки муниципального образования, Республика Татарстан, Камско-Устьинский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района,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ольшекляринское сельское 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селение Камско-Устьинского муниципального района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Республики Татарстан No75 от 17.12.2013. </w:t>
            </w:r>
            <w:r>
              <w:rPr>
                <w:sz w:val="22"/>
                <w:szCs w:val="22"/>
              </w:rPr>
              <w:t xml:space="preserve">Максимально и минимально допустимые п</w:t>
            </w:r>
            <w:r>
              <w:rPr>
                <w:sz w:val="22"/>
                <w:szCs w:val="22"/>
              </w:rPr>
              <w:t xml:space="preserve">араметры разрешенного строительства объекта капитального строительства</w:t>
            </w:r>
            <w:r>
              <w:rPr>
                <w:sz w:val="22"/>
                <w:szCs w:val="22"/>
              </w:rPr>
              <w:t xml:space="preserve"> не установлены.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утверждены пост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новлением Совета Большекляринского сельского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поселения Камско-Устьинского муниципального района Республики Татарстан No127 от 11.03.2025. Требования к архитектурно-градостроительному облику объекта кап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тального строительства не установлены.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87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</w:t>
            </w:r>
            <w:r>
              <w:rPr>
                <w:b/>
                <w:color w:val="000000"/>
                <w:sz w:val="22"/>
                <w:szCs w:val="22"/>
              </w:rPr>
              <w:t xml:space="preserve">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№22000018010000000157 от 10.10.2025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16:22:150102:636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Кирельское сельское поселение, с.Кирельское , ул.Гагарина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2"/>
                <w:szCs w:val="22"/>
              </w:rPr>
              <w:t xml:space="preserve">40031,34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Сорок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тридцать </w:t>
            </w:r>
            <w:r>
              <w:rPr>
                <w:sz w:val="22"/>
                <w:szCs w:val="22"/>
              </w:rPr>
              <w:t xml:space="preserve">один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8006</w:t>
            </w:r>
            <w:r>
              <w:rPr>
                <w:sz w:val="22"/>
                <w:szCs w:val="22"/>
              </w:rPr>
              <w:t xml:space="preserve">,27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Вос</w:t>
            </w:r>
            <w:r>
              <w:rPr>
                <w:sz w:val="22"/>
                <w:szCs w:val="22"/>
              </w:rPr>
              <w:t xml:space="preserve">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27 копеек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  <w:t xml:space="preserve">,9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5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/>
                <w:sz w:val="22"/>
                <w:szCs w:val="22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13.11.2025;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No 2402-р выдан: Министерство земельных и имущественных отношений Республики Татарстан; постановление "Об утверждении Порядка принятия решений об утверждении границ охранных зон газораспределительных сетей и наложении ограничений (обремененний) на входящие в них земельные участки" от 30.04.2014 No 288 выдан: Кабинет Министров Республики Татарстан; постановление "Об утверждении Правил охраны газораспределительных сетей" от 20.11.2000 No 878 выдан: Правительство РФ; землеустроительное дело от 14.11.2014 No 11-0/46525; письмо от 26.11.2014 No б/н выдан: ООО "Газпром Трансгаз Казань"; доверенности от 26.11.2014 No б/н выдан: ООО "Газпром Трансгаз Казань"; землеустроительное дело от 14.11.2014 No 11-0/46525 выдан: Управление Росреестра по РТ Госфонд; распоряжение от 05.11.2014 No 2402 р выдан: Минестерство земельных и имущественных отношений РТ; учредительная документация от 26.11.2014 No б/н выдан: ООО "Газпром Трансгаз Казань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".Ограничения прав на земельный участок, предусмотренные статьей 56 Земельного кодекса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Российской Федерации; Срок действия: не установлен;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No 2402-р выдан: Министерство земельных и имущественных отношений Республики Татарстан; постановление "Об утверждении Порядка принятия решений об утверждении границ охранных зон газораспределительных сетей и наложении ограничений (обремененний) на входящие в них земельные участки" от 30.04.2014 No 288 выдан: Кабинет Министров Республики Татарстан; постановление "Об утверждении Правил охраны газораспределительных сетей" от 20.11.2000 No 878 выдан: Правительство РФ; землеустроительное дело от 14.11.2014 No 11-0/46525; письмо от 26.11.2014 No б/н выдан: ООО "Газпром Трансгаз Казань"; доверенности от 26.11.2014 No б/н выдан: ООО "Газпром Трансгаз Казань"; землеустроительное дело от 14.11.2014 No 11-0/46525 выдан: Управление Росреестра по РТ Госфонд; распоряжение от 05.11.2014 No 2402 р выдан: Минестерство земельных и имущественных отношений РТ; учредительная документация от 26.11.2014 No б/н выдан: ООО "Газпром Трансгаз Казань"; Содержание ограничения (обременения): В охранных зонах запрещается осуществлять любые действия, согласно пункту 14 Постановления Правительства РФ от 20 ноября 2000 No 878 "Об утверждении Правил охраны газораспределительных сетей"; Реестровый номер границы: 16:22-6.264; Вид объекта реестра границ: Зона с особыми условиями использования территории; Вид зоны по документу: Охранная зона газопроводов инв.10632, инв.18569, инв.22207, инв.37431; Тип зоны: Охранная зона инженерных коммуникаций; Номер: 1.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0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участок расположен в территориальной зоне - Ж1 1-1 Зона индивидуальной жилой застро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ки. Установлен градостроительный регламент.Правила землепользования и застройки муниципального образов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ния «Кирельское сельское поселение» Камско-Устьинского муниципального района Республики Татарстан, утвержденные решением Совета муниципального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образования «Кирельское сельское поселение» Камско-Устьинского муниципального района Республики Татарстан No 157 от 11.07.2023. 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этажей: 3; Высота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строения, м: 18; Максимальный процент застройки, %: 30;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Минимальные отступы от границ земельного участка со стороны улицы, м: 5; Минимальные отступы от границ 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мельного участка от других сторон земельного участка, м: 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полностью расположен или частично расположен в границах зоны с особыми условиями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использования территории: 16:22-6.264.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утверждены постановл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нием Совета Кирельского сельского поселения Камско-Устьинского муниципального района Республики Татарстан No60 от 26.08.2022.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5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№ </w:t>
            </w:r>
            <w:r>
              <w:rPr>
                <w:sz w:val="22"/>
                <w:szCs w:val="22"/>
              </w:rPr>
              <w:t xml:space="preserve">220000180100000001</w:t>
            </w: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  <w:t xml:space="preserve">, дата публикации </w:t>
            </w: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.2025г.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6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III</w:t>
            </w:r>
            <w:r>
              <w:rPr>
                <w:b/>
                <w:sz w:val="22"/>
                <w:szCs w:val="22"/>
              </w:rPr>
              <w:t xml:space="preserve">. ИНФОРМАЦИЯ О ЗАДАТКЕ И КОМИССИОННОМ ЗАЛОГЕ:</w:t>
            </w:r>
          </w:p>
        </w:tc>
      </w:tr>
      <w:tr>
        <w:trPr>
          <w:trHeight w:val="224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и порядок внесения задатка и комиссионного залога.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Денежные средства в размере задатка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и комиссионного залога должны быть зачислены на лицевой счет Участника на электронной площадке  не позднее момента нажатия Организатором аукциона кнопки «начать рассмотрение» д</w:t>
            </w:r>
            <w:r>
              <w:rPr>
                <w:color w:val="ff0000"/>
                <w:sz w:val="22"/>
                <w:szCs w:val="22"/>
              </w:rPr>
              <w:t xml:space="preserve">н</w:t>
            </w:r>
            <w:r>
              <w:rPr>
                <w:color w:val="ff0000"/>
                <w:sz w:val="22"/>
                <w:szCs w:val="22"/>
              </w:rPr>
              <w:t xml:space="preserve">я определения участников аукциона. </w:t>
            </w:r>
          </w:p>
        </w:tc>
      </w:tr>
      <w:tr>
        <w:trPr>
          <w:trHeight w:val="49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документов, подтверждающих внесение задатка, признается заключением соглашения о задатке. 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Банковские реквизиты счета для перечисления задатка </w:t>
            </w:r>
            <w:r>
              <w:rPr>
                <w:b/>
                <w:sz w:val="22"/>
                <w:szCs w:val="22"/>
              </w:rPr>
              <w:t xml:space="preserve">и комиссионного залога</w:t>
            </w:r>
            <w:r>
              <w:rPr>
                <w:b/>
                <w:color w:val="333333"/>
                <w:sz w:val="22"/>
                <w:szCs w:val="22"/>
              </w:rPr>
              <w:t xml:space="preserve">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заявителям, не допущенным к участию в аукционе, - в течение 3 рабочих дней со дня подписания протокола приема заявок;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заявителям,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заявителям, отозвавшим заявки позднее даты окончания срока приема заявок - в порядке, установленном для участников аукциона;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Информация о размере и порядке взимания платы за услуги Оператора электронной площадки (комиссионный сбор):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На основании Приказа АО «Агентство по государственному заказу Республики Татарстан» от 28.02.2023 № 2  с  1 марта 2023 года при подаче заявок на участие в аукционах 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</w:rPr>
              <w:t xml:space="preserve">по реализации/аренде земельных участков на электронной площадке sale.zakazrf.ru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на лицевом счете Участника дополнительно блокируется сумма, в размере 1,2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% начальной цены предмета аукциона, но не более 6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00 рублей с учетом НДС (комиссионный сбор).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Согласно п.4.3.7.1 Регламента функционирования электронной площадки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sale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zakazrf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г: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Оператор программными средствами осуществляет блокирование денежных средств в сумме задатка и комиссионного залога в момент нажатия Организатором торгов кнопки «начать рассмотрение»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определения участников торгов.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на лицевом счете Участника недостаточно денежных средств для осуществления операции блокирования, то в день определения участников торгов Организатору направляется информация о не поступлении задатка Оператору от такого участника.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случае, когда денежная сумма, блокируемая в качестве задатка и комиссионного залога, недостаточна для участия в торгах, указанная сумма распределяется между обеспечительными платежами в следующей очередности: 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первую очередь блокируется комиссионный залог;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вторую очередь блокируется задаток.</w:t>
            </w: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54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результатам проведения электронной процедуры  в </w:t>
            </w:r>
            <w:r>
              <w:rPr>
                <w:rFonts w:ascii="Times New Roman" w:hAnsi="Times New Roman"/>
                <w:bCs/>
              </w:rPr>
              <w:t xml:space="preserve">sale.zakazrf.ru аукциона </w:t>
            </w:r>
            <w:r>
              <w:rPr>
                <w:rFonts w:ascii="Times New Roman" w:hAnsi="Times New Roman"/>
                <w:color w:val="000000"/>
              </w:rPr>
              <w:t xml:space="preserve">на право заключения договоров </w:t>
            </w:r>
            <w:r>
              <w:rPr>
                <w:rFonts w:ascii="Times New Roman" w:hAnsi="Times New Roman"/>
                <w:color w:val="000000"/>
              </w:rPr>
              <w:t xml:space="preserve">аренды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земельных участков </w:t>
            </w:r>
            <w:r>
              <w:rPr>
                <w:rFonts w:ascii="Times New Roman" w:hAnsi="Times New Roman"/>
              </w:rPr>
              <w:t xml:space="preserve">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взымается плата за услуги Оператора электронной площадки.</w:t>
            </w:r>
          </w:p>
        </w:tc>
      </w:tr>
      <w:tr>
        <w:trPr>
          <w:trHeight w:val="606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ТРЕБОВАНИЯ К УЧАСТНИКАМ:</w:t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участникам: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Заявителем</w:t>
            </w:r>
            <w:r>
              <w:rPr>
                <w:sz w:val="22"/>
                <w:szCs w:val="22"/>
              </w:rPr>
              <w:t xml:space="preserve"> аукциона мо</w:t>
            </w:r>
            <w:r>
              <w:rPr>
                <w:sz w:val="22"/>
                <w:szCs w:val="22"/>
              </w:rPr>
              <w:t xml:space="preserve">жет </w:t>
            </w:r>
            <w:r>
              <w:rPr>
                <w:sz w:val="22"/>
                <w:szCs w:val="22"/>
              </w:rPr>
              <w:t xml:space="preserve"> быть  только граждан</w:t>
            </w:r>
            <w:r>
              <w:rPr>
                <w:sz w:val="22"/>
                <w:szCs w:val="22"/>
              </w:rPr>
              <w:t xml:space="preserve">ин</w:t>
            </w:r>
            <w:r>
              <w:rPr>
                <w:sz w:val="22"/>
                <w:szCs w:val="22"/>
              </w:rPr>
              <w:t xml:space="preserve"> – физическое лицо,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прошедший регистрацию в качестве физического лица </w:t>
            </w:r>
            <w:r>
              <w:rPr>
                <w:sz w:val="22"/>
                <w:szCs w:val="22"/>
              </w:rPr>
              <w:t xml:space="preserve">в ГИС Торги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color w:val="538135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ВАЖНО!</w:t>
            </w:r>
            <w:r>
              <w:rPr>
                <w:color w:val="ff0000"/>
                <w:sz w:val="22"/>
                <w:szCs w:val="22"/>
              </w:rPr>
              <w:t xml:space="preserve"> Передача полномочий между доверенным лицом и доверителем осуществляется с использованием функционала ГИС Торги.</w:t>
            </w:r>
            <w:r>
              <w:rPr>
                <w:b/>
                <w:color w:val="538135"/>
                <w:sz w:val="22"/>
                <w:szCs w:val="22"/>
              </w:rPr>
            </w:r>
          </w:p>
        </w:tc>
      </w:tr>
      <w:tr>
        <w:trPr>
          <w:trHeight w:val="45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регистрации и работы  заявителей на участие в аукционе.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Всем участникам торгов требуется пройти регистрацию в ГИС Торги (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torgi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gov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torgi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gov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Руководство  пользователя  по  регистрации и работе в личном кабинете участника торгов размещено на сайте ГИС Торги (</w:t>
            </w:r>
            <w:r>
              <w:rPr>
                <w:sz w:val="22"/>
                <w:szCs w:val="22"/>
                <w:u w:val="single"/>
                <w:lang w:val="en-US"/>
              </w:rPr>
              <w:t xml:space="preserve">torgi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gov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  <w:t xml:space="preserve">) в разделе</w:t>
            </w:r>
            <w:r>
              <w:rPr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поддержки/ Информ</w:t>
            </w:r>
            <w:r>
              <w:rPr>
                <w:sz w:val="22"/>
                <w:szCs w:val="22"/>
              </w:rPr>
              <w:t xml:space="preserve">ационные материалы/ Руководство пользователя. Регистрация и работа в Личном кабинете участника торгов.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регистрации в ГИС Торги участие в электронных торгах будет автоматически доступно на аккредитованной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, польз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ватель должен пройти регистрацию на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Инструкция  участника  в личном кабинете  </w:t>
            </w:r>
            <w:r>
              <w:rPr>
                <w:sz w:val="22"/>
                <w:szCs w:val="22"/>
              </w:rPr>
              <w:t xml:space="preserve">размещена на  электронной площадке  </w:t>
            </w:r>
            <w:r>
              <w:rPr>
                <w:sz w:val="22"/>
                <w:szCs w:val="22"/>
                <w:lang w:val="en-US"/>
              </w:rPr>
              <w:t xml:space="preserve">sale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zakazrf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</w:rPr>
              <w:t xml:space="preserve"> в разделе: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Документы/ Инструкции/ Инструкции по работе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Инструкция покупателя</w:t>
            </w:r>
            <w:r>
              <w:rPr>
                <w:sz w:val="22"/>
                <w:szCs w:val="22"/>
              </w:rPr>
              <w:t xml:space="preserve"> (участника)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 xml:space="preserve">реализации имущества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>
              <w:rPr>
                <w:sz w:val="22"/>
                <w:szCs w:val="22"/>
              </w:rPr>
              <w:t xml:space="preserve">в Службу тех.поддержки, тел.(843) 212-24-25,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 HYPERLINK "mailto:sale@mail.zakazrf.ru</w:instrText>
            </w:r>
            <w:r>
              <w:rPr>
                <w:color w:val="000000"/>
                <w:sz w:val="22"/>
                <w:szCs w:val="22"/>
              </w:rPr>
              <w:instrText xml:space="preserve">.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" 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Hyperlink"/>
                <w:color w:val="000000"/>
                <w:sz w:val="22"/>
                <w:szCs w:val="22"/>
                <w:shd w:val="clear" w:color="auto" w:fill="ffffff"/>
              </w:rPr>
              <w:t xml:space="preserve">sale@mail.zakazrf.ru</w:t>
            </w:r>
            <w:r>
              <w:rPr>
                <w:rStyle w:val="Hyperlink"/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УСЛОВИЯ ПРОВЕДЕНИЯ ПРОЦЕДУРЫ:</w:t>
            </w:r>
          </w:p>
        </w:tc>
      </w:tr>
      <w:tr>
        <w:trPr>
          <w:trHeight w:val="1403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подачи заявок: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начала приема заявок:  </w:t>
            </w:r>
            <w:r>
              <w:rPr>
                <w:b/>
                <w:sz w:val="22"/>
                <w:szCs w:val="22"/>
              </w:rPr>
              <w:t xml:space="preserve">11.02.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окончания приема заявок:  </w:t>
            </w:r>
            <w:r>
              <w:rPr>
                <w:b/>
                <w:sz w:val="22"/>
                <w:szCs w:val="22"/>
              </w:rPr>
              <w:t xml:space="preserve">25.02.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</w:tc>
      </w:tr>
      <w:tr>
        <w:trPr>
          <w:trHeight w:val="507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6" w:left="34"/>
              <w:contextualSpacing w:val="false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>
              <w:rPr>
                <w:rFonts w:ascii="Times New Roman" w:hAnsi="Times New Roman"/>
                <w:color w:val="ff0000"/>
              </w:rPr>
              <w:t xml:space="preserve">Согласно п.4.</w:t>
            </w:r>
            <w:r>
              <w:rPr>
                <w:rFonts w:ascii="Times New Roman" w:hAnsi="Times New Roman"/>
                <w:color w:val="ff0000"/>
              </w:rPr>
              <w:t xml:space="preserve">3</w:t>
            </w:r>
            <w:r>
              <w:rPr>
                <w:rFonts w:ascii="Times New Roman" w:hAnsi="Times New Roman"/>
                <w:color w:val="ff0000"/>
              </w:rPr>
              <w:t xml:space="preserve">.1 Регламента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 , утвержденного </w:t>
            </w:r>
            <w:r>
              <w:rPr>
                <w:rFonts w:ascii="Times New Roman" w:hAnsi="Times New Roman"/>
                <w:color w:val="ff0000"/>
              </w:rPr>
              <w:t xml:space="preserve">1</w:t>
            </w:r>
            <w:r>
              <w:rPr>
                <w:rFonts w:ascii="Times New Roman" w:hAnsi="Times New Roman"/>
                <w:color w:val="ff0000"/>
              </w:rPr>
              <w:t xml:space="preserve">2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0</w:t>
            </w:r>
            <w:r>
              <w:rPr>
                <w:rFonts w:ascii="Times New Roman" w:hAnsi="Times New Roman"/>
                <w:color w:val="ff0000"/>
              </w:rPr>
              <w:t xml:space="preserve">1</w:t>
            </w:r>
            <w:r>
              <w:rPr>
                <w:rFonts w:ascii="Times New Roman" w:hAnsi="Times New Roman"/>
                <w:color w:val="ff0000"/>
              </w:rPr>
              <w:t xml:space="preserve">.202</w:t>
            </w:r>
            <w:r>
              <w:rPr>
                <w:rFonts w:ascii="Times New Roman" w:hAnsi="Times New Roman"/>
                <w:color w:val="ff0000"/>
              </w:rPr>
              <w:t xml:space="preserve">6</w:t>
            </w:r>
            <w:r>
              <w:rPr>
                <w:rFonts w:ascii="Times New Roman" w:hAnsi="Times New Roman"/>
                <w:color w:val="ff0000"/>
              </w:rPr>
              <w:t xml:space="preserve">г., подача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заявки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на</w:t>
            </w:r>
            <w:r>
              <w:rPr>
                <w:rFonts w:ascii="Times New Roman" w:hAnsi="Times New Roman"/>
                <w:color w:val="ff0000"/>
                <w:spacing w:val="-13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участие</w:t>
            </w:r>
            <w:r>
              <w:rPr>
                <w:rFonts w:ascii="Times New Roman" w:hAnsi="Times New Roman"/>
                <w:color w:val="ff0000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в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торгах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может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осуществляться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лично Участником на электронной торговой площадке, зарегистрированным на площадке, из Личного кабинета Участника посредством штатного интерфейса отдельно по каждому лоту в сроки, установленные в извещении, либо от имени доверителя, действуя в интересах третьего лица (при наличии подтвержденных полномочий в ГИС Торги).</w:t>
            </w:r>
            <w:r>
              <w:rPr>
                <w:rFonts w:ascii="Times New Roman" w:hAnsi="Times New Roman"/>
                <w:color w:val="ff0000"/>
                <w:u w:val="single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 направляется оператору электронной площадки в форме электронного документа с приложением следующих документов: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копии документов, удостоверяющих личность заявителя (для граждан);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документы, подтверждающие внесение задатка.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 лицо имеет право подать только одну заявку по каждому лоту.</w:t>
            </w:r>
            <w:bookmarkEnd w:id="2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color w:val="ff0000"/>
              </w:rPr>
              <w:t xml:space="preserve">Регламентом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, утвержденным </w:t>
            </w:r>
            <w:r>
              <w:rPr>
                <w:rFonts w:ascii="Times New Roman" w:hAnsi="Times New Roman"/>
                <w:color w:val="ff0000"/>
              </w:rPr>
              <w:t xml:space="preserve">1</w:t>
            </w:r>
            <w:r>
              <w:rPr>
                <w:rFonts w:ascii="Times New Roman" w:hAnsi="Times New Roman"/>
                <w:color w:val="ff0000"/>
              </w:rPr>
              <w:t xml:space="preserve">2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0</w:t>
            </w:r>
            <w:r>
              <w:rPr>
                <w:rFonts w:ascii="Times New Roman" w:hAnsi="Times New Roman"/>
                <w:color w:val="ff0000"/>
              </w:rPr>
              <w:t xml:space="preserve">1</w:t>
            </w:r>
            <w:r>
              <w:rPr>
                <w:rFonts w:ascii="Times New Roman" w:hAnsi="Times New Roman"/>
                <w:color w:val="ff0000"/>
              </w:rPr>
              <w:t xml:space="preserve">.202</w:t>
            </w:r>
            <w:r>
              <w:rPr>
                <w:rFonts w:ascii="Times New Roman" w:hAnsi="Times New Roman"/>
                <w:color w:val="ff0000"/>
              </w:rPr>
              <w:t xml:space="preserve">6</w:t>
            </w:r>
            <w:r>
              <w:rPr>
                <w:rFonts w:ascii="Times New Roman" w:hAnsi="Times New Roman"/>
                <w:color w:val="ff0000"/>
              </w:rPr>
              <w:t xml:space="preserve">г.,  определен порядок п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одача заявки и участия в торгах </w:t>
            </w:r>
            <w:r>
              <w:rPr>
                <w:rFonts w:ascii="Times New Roman" w:hAnsi="Times New Roman"/>
                <w:bCs/>
                <w:iCs/>
                <w:color w:val="ff0000"/>
                <w:u w:val="single"/>
              </w:rPr>
              <w:t xml:space="preserve">через доверенное лицо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568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 xml:space="preserve">4.7</w:t>
            </w:r>
            <w:r>
              <w:rPr>
                <w:rFonts w:ascii="Times New Roman" w:hAnsi="Times New Roman"/>
                <w:bCs/>
                <w:iCs/>
                <w:color w:val="ff000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 Подача заявки и участие в торгах через доверенное лицо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.1. При наличии подтвержденных полномочий в ГИС Торги участник, действуя в качестве доверенного лица (представителя) имеет возможность сформировать и подать заявку от имени доверителя (лицо, которое является фактическим приобретателем объекта торгов).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От имени доверителя заявку вправе подать только одно доверенное лицо.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.2. Передача полномочий между доверенным лицом и доверителем осуществляется с использованием функционала ГИС Торги. Сведения о подтверждённых полномочиях поступают на электронную площадку автоматически, путем интеграционного взаимодействия информационных систем.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.3.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средствами, зачисленными на лицевой счет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.4. В личном кабинете представителя отображается перечень доверителей от имени, которых он вправе участвовать в торгах. В личном кабинете доверителя отображается перечень представителей, которым он доверил полномочия участвовать в торгах от своего имени.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.5. У представителя отсутствует техническая возможность подать на один торг (лот) одновременно заявку от своего собственного имени и от имени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.6. При подаче заявки представителем, комиссионный залог, задаток и иные обязательные платежи автоматически блокируются на лицевом счету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.7.  При подаче заявки представителем у доверителя отсутствует техническая возможность лично от своего имени отозвать заявку, подать запрос на разъяснения, подать ценовые предложения. Передача полномочий осуществляет единым пакетом, без возможности наделения частичных полномочий.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.8. При отмене полномочий после подачи заявки на участие в торгах, у доверителя и представителя отсутствует техническая возможность осуществлять дальнейшие действия в рамках данного торга (лота).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Доверитель не имеет технической возможности заменить представителя в рамках участия  в одном торге  (лоте).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.9. При рассмотрении заявок в личном кабинете организатора торгов отображаются сведения о том, что заявка подана от имени представителя.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.10. В случае, если доверитель отменил полномочия представителя, то сведения автоматически обновятся в личном кабинете организатора торгов вне зависимости от стадии торгов.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.11. При формировании и публикации протоколов организатором торгов, электронная площадка автоматически отобразит сведения о доверителе в протоколе, сформированном в цифровом формате. Информация о представителе в машиночитаемых протоколах не отображается.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.12. При заключении договора в электронном виде, техническую возможность подписать проект договора имеет только доверитель.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.13. Перевод задатка на счет организатора торгов осуществляется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.14. Оператор списывает комиссионный сбор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</w:t>
            </w: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.15.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требования, установленные Законом об электронной подписи.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7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отзыва заявки: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вправе до дня срока окончания приема заявок отозвать принятую заявку путем направления уведомления об отзыве заявки на электронную площа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ку.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«личный кабинет» Организатора аукциона, о чем заявителю направляется соответствующее уведо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ление.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отзыва заявителем заявки позднее дня окончания приема заявок задаток возвращается в порядке, устано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ленном для участников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26.02.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 года.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Причины отказа в допуске к участию в аукционе: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непоступление задатка на дату рассмотрения заявок на участие в аукционе;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</w:t>
            </w:r>
            <w:r>
              <w:rPr>
                <w:sz w:val="22"/>
                <w:szCs w:val="22"/>
              </w:rPr>
              <w:t xml:space="preserve">арендатором</w:t>
            </w:r>
            <w:r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 xml:space="preserve">ого</w:t>
            </w:r>
            <w:r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наличие сведений о заявителе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реестре недобросовестных участников аукциона.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проведения аукциона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27.02.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года, начало в 09:00 часов.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проведения аукциона в электронной форме: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Время проведения процедуры аукциона соответствует местному врем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ни, в котором функционирует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Электронная площадка АО «Агентство по государственному заказу Республики Татарстан». 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проведения аукциона в электронной форме: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Подача предложений о цене (торговая сессия) проводится в день и время, указанные в извещении.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8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момента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подачи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предложений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ходе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торговой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сессии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Оператор обеспечивает в Личном кабинете Участника возможность ввода предложений о цене посредством штатного интерфейса площадки отдельно по каждому лоту.</w:t>
            </w:r>
          </w:p>
          <w:p>
            <w:pPr>
              <w:pStyle w:val="BodyText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Предложением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признается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подписанное</w:t>
            </w:r>
            <w:r>
              <w:rPr>
                <w:spacing w:val="-6"/>
                <w:sz w:val="22"/>
                <w:szCs w:val="22"/>
              </w:rPr>
              <w:t xml:space="preserve"> электронной подписью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предложение.</w:t>
            </w: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Торговая сессия проводится путем последовательного повышения Участниками начальной цены предмета аукциона на величину, равную или кратную величине «шага аукциона».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«Шаг аукциона» устанавливается Организатором процедуры в фиксированной сумме и не изменяется в течение всего времени подачи предложений о цене.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Время для подачи предложений о цене определяется в следующем порядке: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время для подачи первого предложения о цене составляет 60 минут с момента начала аукциона;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5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торговой сессии Оператор программными средствами площадки обеспечивает отклонение предложения о цене в момент его поступления и соответствующее информирование Участника, в случае если: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right="178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о цене подано до начала или по истечении установленного времени для подачи предложений о цене;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начальной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цены;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равно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нулю;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6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соответствует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увеличению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текущей цены в соответствии с «шагом аукциона»;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2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меньше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ранее представленных </w:t>
            </w:r>
            <w:r>
              <w:rPr>
                <w:rFonts w:ascii="Times New Roman" w:hAnsi="Times New Roman"/>
                <w:spacing w:val="-2"/>
              </w:rPr>
              <w:t xml:space="preserve">предложений;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1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является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лучшим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текущим предложением о цене.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3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Победителем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аукциона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признается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предложивший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наиболее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высокую цену </w:t>
            </w:r>
            <w:r>
              <w:rPr>
                <w:rFonts w:ascii="Times New Roman" w:hAnsi="Times New Roman"/>
                <w:lang w:eastAsia="ru-RU"/>
              </w:rPr>
              <w:t xml:space="preserve">предмета аукциона</w:t>
            </w:r>
            <w:r>
              <w:rPr>
                <w:rFonts w:ascii="Times New Roman" w:hAnsi="Times New Roman"/>
              </w:rPr>
              <w:t xml:space="preserve">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Отказ от проведения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Камско-Устьинского муниципального района Республика Татарстан  https://kamskoye-ustye.tatarstan.ru/2014-g.htm, на официальном сайте Российской Федерации для размещения информации о проведении торгов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Hyperlink"/>
                <w:sz w:val="22"/>
                <w:szCs w:val="22"/>
              </w:rPr>
              <w:t xml:space="preserve">https://torgi.gov.ru/new/public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. Оператор электронной площадки направляет в электронной форме уведомления об отказе в проведении аукциона, так же возвращает задатки заявителям, подавшим заявки, или участникам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75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VI</w:t>
            </w:r>
            <w:r>
              <w:rPr>
                <w:b/>
                <w:sz w:val="22"/>
                <w:szCs w:val="22"/>
              </w:rPr>
              <w:t xml:space="preserve">. ЗАКЛЮЧЕНИЕ ДОГОВОРА: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6.1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Лица, с которыми заключается договор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аренды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с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</w:p>
          <w:p>
            <w:pPr>
              <w:pStyle w:val="HtmlNormal"/>
              <w:keepLines w:val="true"/>
              <w:spacing w:line="288" w:lineRule="atLeast"/>
              <w:jc w:val="both"/>
              <w:rPr>
                <w:color w:val="2e74b5"/>
                <w:sz w:val="22"/>
                <w:szCs w:val="22"/>
              </w:rPr>
            </w:pPr>
            <w:r>
              <w:rPr>
                <w:color w:val="2e74b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договора,  по цене, предложенной таким участником аукциона. </w:t>
            </w:r>
            <w:r>
              <w:rPr>
                <w:color w:val="2e74b5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6.2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и условия заключения договора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аренды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земельного участка: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допускается заключение договора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сайте ГИС Торги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torgi.gov.ru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 аукциона или иное лицо, с которыми в соответствии с пунктами 13, 14, 20 статьи 39.12 Земельного Кодекса заключается договор, обязан в течение 10 (десяти) рабочих дней со дня направления ему проекта договора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 заключить договор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в электронной форме, подписав его усиленной квалифицированной электронной подписью.</w:t>
            </w:r>
          </w:p>
          <w:p>
            <w:pPr>
              <w:pStyle w:val="HtmlNormal"/>
              <w:keepLines w:val="true"/>
              <w:spacing w:line="288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договор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  в течение 10 (десяти) рабочих дней со дня направления проекта договора 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 не был подписан победителем аукциона, предлагается заключить указанный договор участнику аукциона, который сделал предпоследнее предложение о цене предмета аукциона, по цене, предложенной таким участником аукциона.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аукциона, сделавший предпоследнее предложение о цене предмета аукциона, обязан  в течение 10 (десяти) рабочих дней со дня направления ему проекта договора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 заключить договор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 в электронной форме, подписав его усиленной квалифицированной электронной подписью.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</w:t>
            </w:r>
            <w:r>
              <w:rPr>
                <w:sz w:val="22"/>
                <w:szCs w:val="22"/>
                <w:u w:val="single"/>
              </w:rPr>
              <w:t xml:space="preserve">по договору аренды </w:t>
            </w:r>
            <w:r>
              <w:rPr>
                <w:sz w:val="22"/>
                <w:szCs w:val="22"/>
              </w:rPr>
              <w:t xml:space="preserve">земельного участка производится в сроки, указанные в договоре аренды.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производится на реквизиты, указанные в договоре аренды земельного участка: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Получатель платежа: </w:t>
            </w:r>
            <w:r>
              <w:rPr>
                <w:sz w:val="22"/>
                <w:szCs w:val="22"/>
              </w:rPr>
              <w:t xml:space="preserve">УФК по РТ (Палата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получателя платежа № 1622004690 / 162201001; № р.счета: 03100643000000011100; № кор.сч.: 40102810445370000079; наименование банка получателя платежа - </w:t>
            </w:r>
            <w:r>
              <w:t xml:space="preserve">ОКЦ № 6 ВВГУ Банка России//УФК по Республике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t xml:space="preserve"> Татарстан г.Казань</w:t>
            </w:r>
            <w:r>
              <w:rPr>
                <w:sz w:val="22"/>
                <w:szCs w:val="22"/>
              </w:rPr>
              <w:t xml:space="preserve">; БИК 019205400; ОКТМО - 92 630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  <w:t xml:space="preserve">; КБК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50311105013050000120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Задаток, внесенный лицом, признанным победителем аукциона, и задаток, внесенный иным лицом, с которыми в соответствии с пункт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 6.1 настоящего Извещения</w:t>
            </w:r>
            <w:r>
              <w:rPr>
                <w:sz w:val="22"/>
                <w:szCs w:val="22"/>
              </w:rPr>
              <w:t xml:space="preserve"> заключается договор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участка, засчитывается в счет арендной платы за земельный участок.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Лицам, не заключившим в установленном порядке договора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земельного участка вследствие уклонения от заключения указанных договоров, задатки не возвращаются.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победителе аукциона, либо ином лице, с которыми в соответствии с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 6.1 настоящего Извещения</w:t>
            </w:r>
            <w:r>
              <w:rPr>
                <w:sz w:val="22"/>
                <w:szCs w:val="22"/>
              </w:rPr>
              <w:t xml:space="preserve"> заключается договор, уклонившимся от заключения договора </w:t>
            </w:r>
            <w:r>
              <w:rPr>
                <w:sz w:val="22"/>
                <w:szCs w:val="22"/>
              </w:rPr>
              <w:t xml:space="preserve">аренды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</w:tc>
      </w:tr>
    </w:tbl>
    <w:p>
      <w:pPr>
        <w:pStyle w:val="Normal"/>
        <w:keepNext w:val="true"/>
        <w:keepLines w:val="true"/>
        <w:spacing w:line="192" w:lineRule="auto"/>
        <w:ind w:right="42"/>
        <w:outlineLvl w:val="1"/>
        <w:rPr>
          <w:b/>
          <w:sz w:val="22"/>
          <w:szCs w:val="22"/>
        </w:rPr>
      </w:pPr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  <w:sz w:val="22"/>
          <w:szCs w:val="22"/>
        </w:rPr>
      </w:r>
    </w:p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24505</Characters>
  <CharactersWithSpaces>28747</CharactersWithSpaces>
  <Company>Microsoft</Company>
  <DocSecurity>0</DocSecurity>
  <HyperlinksChanged>false</HyperlinksChanged>
  <Lines>204</Lines>
  <Pages>8</Pages>
  <Paragraphs>57</Paragraphs>
  <ScaleCrop>false</ScaleCrop>
  <SharedDoc>false</SharedDoc>
  <Template>Normal.dotm</Template>
  <Words>4299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42</cp:revision>
  <dcterms:created xsi:type="dcterms:W3CDTF">2025-06-11T10:20:00Z</dcterms:created>
  <dcterms:modified xsi:type="dcterms:W3CDTF">2026-02-10T08:19:00Z</dcterms:modified>
  <cp:version>917504</cp:version>
</cp:coreProperties>
</file>