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colors5.xml" ContentType="application/vnd.ms-office.chartcolorstyle+xml"/>
  <Override PartName="/word/charts/chart5.xml" ContentType="application/vnd.openxmlformats-officedocument.drawingml.chart+xml"/>
  <Override PartName="/word/charts/style3.xml" ContentType="application/vnd.ms-office.chartstyle+xml"/>
  <Override PartName="/word/charts/style2.xml" ContentType="application/vnd.ms-office.chartstyle+xml"/>
  <Override PartName="/word/charts/colors3.xml" ContentType="application/vnd.ms-office.chartcolorstyle+xml"/>
  <Override PartName="/word/charts/chart2.xml" ContentType="application/vnd.openxmlformats-officedocument.drawingml.chart+xml"/>
  <Override PartName="/word/charts/style5.xml" ContentType="application/vnd.ms-office.chartstyle+xml"/>
  <Override PartName="/word/charts/colors1.xml" ContentType="application/vnd.ms-office.chartcolorstyle+xml"/>
  <Override PartName="/word/charts/style4.xml" ContentType="application/vnd.ms-office.chartstyle+xml"/>
  <Override PartName="/word/charts/colors2.xml" ContentType="application/vnd.ms-office.chartcolorstyle+xml"/>
  <Override PartName="/word/charts/colors4.xml" ContentType="application/vnd.ms-office.chartcolorstyle+xml"/>
  <Override PartName="/word/charts/style1.xml" ContentType="application/vnd.ms-office.chartsty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  <Override PartName="/word/charts/chart3.xml" ContentType="application/vnd.openxmlformats-officedocument.drawingml.chart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Анализ обращений граждан </w:t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Совету Камско-Устьинского муниципального района </w:t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2025 год.</w:t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в аппарат Совета Камско-Устьинского муниципального района поступило 273 устных и письменных обращений, что на 8% выше </w:t>
      </w:r>
      <w:r>
        <w:rPr>
          <w:rFonts w:ascii="Times New Roman" w:hAnsi="Times New Roman" w:cs="Times New Roman"/>
          <w:sz w:val="28"/>
          <w:szCs w:val="28"/>
        </w:rPr>
        <w:t xml:space="preserve">уровня предыдущего года (2024г. - 253).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drawing>
          <wp:inline distT="0" distB="0" distL="0" distR="0">
            <wp:extent cx="5057775" cy="2647950"/>
            <wp:effectExtent l="0" t="0" r="9525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Совете Камско-Устьинского муниципального района были приняты на личном приеме 110 граждан, что на 34% больше уровня 2024 года. (2024г. - 82). Все граждане </w:t>
      </w:r>
      <w:r>
        <w:rPr>
          <w:rFonts w:ascii="Times New Roman" w:hAnsi="Times New Roman" w:cs="Times New Roman"/>
          <w:sz w:val="28"/>
          <w:szCs w:val="28"/>
        </w:rPr>
        <w:t xml:space="preserve">приняты Главой муниципального района. Определены и строго соблюдаются единый день и часы приема граждан главой муниципального района, его зам</w:t>
      </w:r>
      <w:r>
        <w:rPr>
          <w:rFonts w:ascii="Times New Roman" w:hAnsi="Times New Roman" w:cs="Times New Roman"/>
          <w:sz w:val="28"/>
          <w:szCs w:val="28"/>
        </w:rPr>
        <w:t xml:space="preserve">естителем - каждый вторник с 14.</w:t>
      </w:r>
      <w:r>
        <w:rPr>
          <w:rFonts w:ascii="Times New Roman" w:hAnsi="Times New Roman" w:cs="Times New Roman"/>
          <w:sz w:val="28"/>
          <w:szCs w:val="28"/>
        </w:rPr>
        <w:t xml:space="preserve">00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месте приема, а также об установленных для приема днях и часах ра</w:t>
      </w:r>
      <w:r>
        <w:rPr>
          <w:rFonts w:ascii="Times New Roman" w:hAnsi="Times New Roman" w:cs="Times New Roman"/>
          <w:sz w:val="28"/>
          <w:szCs w:val="28"/>
        </w:rPr>
        <w:t xml:space="preserve">змещена на сайте района, во вкладке «Обращения граждан».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drawing>
          <wp:inline distT="0" distB="0" distL="0" distR="0">
            <wp:extent cx="5210175" cy="2609850"/>
            <wp:effectExtent l="0" t="0" r="9525" b="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Количество поступивших в Совет муниципального района из Администрации Президента Российской Федерации, из Администрации Раиса Республики Татарстан, из Аппарата Кабинета Министров Республики Татарс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тан и из других республиканских министерств и ведомств поручений по обращениям граждан в 2025 году увеличилось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составило 113 единиц (2024г. - 110).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drawing>
          <wp:inline distT="0" distB="0" distL="0" distR="0">
            <wp:extent cx="5486400" cy="3419475"/>
            <wp:effectExtent l="0" t="0" r="0" b="9525"/>
            <wp:docPr id="3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В электронном виде, в том числе через Интернет-приемную, портал ЕСИА и на электронную почту в 2</w:t>
      </w:r>
      <w:r>
        <w:rPr>
          <w:rFonts w:ascii="Times New Roman" w:hAnsi="Times New Roman" w:cs="Times New Roman"/>
          <w:sz w:val="28"/>
          <w:szCs w:val="28"/>
        </w:rPr>
        <w:t xml:space="preserve">025 году поступило 73 обращения, по сравнению с аналогичном периодом 2024 года количество обращений уменьшилось на 3 (в 2024 году - 76 обращений).  На бумажном носителе получено 56 писем (2024г. -  38).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drawing>
          <wp:inline distT="0" distB="0" distL="0" distR="0">
            <wp:extent cx="4514850" cy="2676525"/>
            <wp:effectExtent l="0" t="0" r="0" b="9525"/>
            <wp:docPr id="4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12 коллективных обращений, поступивших в 2025 году, содержат 140 подписей (2024г. – 14/117). </w:t>
      </w:r>
      <w:r>
        <w:rPr>
          <w:rFonts w:ascii="Times New Roman" w:hAnsi="Times New Roman" w:cs="Times New Roman"/>
          <w:sz w:val="28"/>
          <w:szCs w:val="28"/>
        </w:rPr>
        <w:t xml:space="preserve">Количество обращений граждан, поступивших на татарском языке составило 2 (2024г. - 4).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Наибольшее количество обращений поступило от жителей поселка городского типа Камское Устье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29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из с.Красновидово – 6,</w:t>
      </w:r>
      <w:r>
        <w:rPr>
          <w:rFonts w:ascii="Times New Roman" w:hAnsi="Times New Roman" w:cs="Times New Roman"/>
          <w:sz w:val="28"/>
          <w:szCs w:val="28"/>
        </w:rPr>
        <w:t xml:space="preserve"> из поселка городского</w:t>
      </w:r>
      <w:r>
        <w:rPr>
          <w:rFonts w:ascii="Times New Roman" w:hAnsi="Times New Roman" w:cs="Times New Roman"/>
          <w:sz w:val="28"/>
          <w:szCs w:val="28"/>
        </w:rPr>
        <w:t xml:space="preserve"> типа Куйбышевский Затон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, из п</w:t>
      </w:r>
      <w:r>
        <w:rPr>
          <w:rFonts w:ascii="Times New Roman" w:hAnsi="Times New Roman" w:cs="Times New Roman"/>
          <w:sz w:val="28"/>
          <w:szCs w:val="28"/>
        </w:rPr>
        <w:t xml:space="preserve">оселка городского типа </w:t>
      </w:r>
      <w:r>
        <w:rPr>
          <w:rFonts w:ascii="Times New Roman" w:hAnsi="Times New Roman" w:cs="Times New Roman"/>
          <w:sz w:val="28"/>
          <w:szCs w:val="28"/>
        </w:rPr>
        <w:t xml:space="preserve">Тенишево – 4.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836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89"/>
        <w:gridCol w:w="6281"/>
        <w:gridCol w:w="2283"/>
        <w:gridCol w:w="57"/>
      </w:tblGrid>
      <w:tr>
        <w:trPr>
          <w:trHeight w:val="322"/>
        </w:trPr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городского и сельских поселений в разрезе населенных пунктов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Поступило письменных обращений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д. Бикеево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д. Буртасы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д. Картапа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д. Лабышка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hd w:val="clear" w:color="ffffff" w:themeColor="background1" w:fill="ffffff" w:themeFill="background1"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д. Малые Кармалы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п.г.т. Камское Устье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29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п.г.т. Куйбышевский Затон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п.г.т. Тенишево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Большая Янгасала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Большие Кляри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Большие Салтыки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Варварино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13.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Красновидово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14.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Малые Салтыки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Сюкеево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089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16.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6281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Теньки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2283" w:type="dxa"/>
            <w:vAlign w:val="center"/>
            <w:textDirection w:val="lrTb"/>
            <w:noWrap w:val="false"/>
          </w:tcPr>
          <w:p>
            <w:pPr>
              <w:pBdr/>
              <w:spacing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</w:t>
      </w:r>
      <w:r>
        <w:rPr>
          <w:rFonts w:ascii="Times New Roman" w:hAnsi="Times New Roman" w:cs="Times New Roman"/>
          <w:sz w:val="28"/>
          <w:szCs w:val="28"/>
        </w:rPr>
        <w:t xml:space="preserve">более активной социальной группой, направляющей свои предложения, жалобы, заявления в Совет муниципального района, являются пенсионеры 27 человек. Остальные обратившиеся принадлежат к следующим категориям: работающи</w:t>
      </w:r>
      <w:r>
        <w:rPr>
          <w:rFonts w:ascii="Times New Roman" w:hAnsi="Times New Roman" w:cs="Times New Roman"/>
          <w:sz w:val="28"/>
          <w:szCs w:val="28"/>
        </w:rPr>
        <w:t xml:space="preserve">е – 23 человека; руководители – 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человек</w:t>
      </w:r>
      <w:r>
        <w:rPr>
          <w:rFonts w:ascii="Times New Roman" w:hAnsi="Times New Roman" w:cs="Times New Roman"/>
          <w:sz w:val="28"/>
          <w:szCs w:val="28"/>
        </w:rPr>
        <w:t xml:space="preserve">, военнослужащие –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человек.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494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814"/>
        <w:gridCol w:w="3839"/>
      </w:tblGrid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Социальная группа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Количество обращений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Адвокат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Беженец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Безработный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БОМЖ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Военнослужащий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Временно не работает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Вынужденный переселенец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Домохозяйка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установлено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Обеспечиваемые домами-интернатами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Осужденный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Пенсионер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Пенсионер УВД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Подследственный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Работающий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Работники бюджетной сферы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Рабочий с/х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Религиозный сан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Семья сотрудника УВД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Служащий, ИТР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УВД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Спортсмен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Студент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Творческая, научная интеллигенция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Учащийся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 w:after="0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В блоке обращений «</w:t>
      </w:r>
      <w:r>
        <w:rPr>
          <w:rFonts w:ascii="Times New Roman" w:hAnsi="Times New Roman" w:cs="Times New Roman"/>
          <w:b/>
          <w:sz w:val="28"/>
          <w:szCs w:val="28"/>
        </w:rPr>
        <w:t xml:space="preserve">Государство, общество, политика</w:t>
      </w:r>
      <w:r>
        <w:rPr>
          <w:rFonts w:ascii="Times New Roman" w:hAnsi="Times New Roman" w:cs="Times New Roman"/>
          <w:sz w:val="28"/>
          <w:szCs w:val="28"/>
        </w:rPr>
        <w:t xml:space="preserve">» всего рассмотрено 117 вопросов (2024г. - 53).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блок содержит вопросы </w:t>
      </w:r>
      <w:r>
        <w:rPr>
          <w:rFonts w:ascii="Times New Roman" w:hAnsi="Times New Roman" w:cs="Times New Roman"/>
          <w:sz w:val="28"/>
          <w:szCs w:val="28"/>
        </w:rPr>
        <w:t xml:space="preserve">о деятельности общественных и религиозных объединений (5), о деятельности некоммерческих объединений (5), увековечении памяти выдающихся людей, исторических событий (1), о работе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(86), о рассмотрении обращений (16).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ж</w:t>
      </w:r>
      <w:r>
        <w:rPr>
          <w:rFonts w:ascii="Times New Roman" w:hAnsi="Times New Roman" w:cs="Times New Roman"/>
          <w:b/>
          <w:sz w:val="28"/>
          <w:szCs w:val="28"/>
        </w:rPr>
        <w:t xml:space="preserve">илищно-коммунального хозяйства </w:t>
      </w:r>
      <w:r>
        <w:rPr>
          <w:rFonts w:ascii="Times New Roman" w:hAnsi="Times New Roman" w:cs="Times New Roman"/>
          <w:sz w:val="28"/>
          <w:szCs w:val="28"/>
        </w:rPr>
        <w:t xml:space="preserve">остается актуальным среди заявителей. В 2025 году поступило 71 обращение на указанную тематику (2024г.  - 59). Значительную часть данного блока составляют вопросы обеспечения граждан жилищем, социальных гарантий в жилищной сф</w:t>
      </w:r>
      <w:r>
        <w:rPr>
          <w:rFonts w:ascii="Times New Roman" w:hAnsi="Times New Roman" w:cs="Times New Roman"/>
          <w:sz w:val="28"/>
          <w:szCs w:val="28"/>
        </w:rPr>
        <w:t xml:space="preserve">ере, предоставления коммунальных услуг ненадлежащего качества: теплоснабжения, электроснабжения, водоснабжения. Вопросы оплаты услуг ЖКХ затронуты в 1 обращении.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Увеличилось на 1 обращение – 10 (2024г.- 9) по вопросам обороны, обеспечения безопасности и з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конности. Поднимаются вопросы оказания </w:t>
      </w:r>
      <w:r>
        <w:rPr>
          <w:rFonts w:ascii="Times New Roman" w:hAnsi="Times New Roman" w:cs="Times New Roman"/>
          <w:sz w:val="28"/>
          <w:szCs w:val="28"/>
        </w:rPr>
        <w:t xml:space="preserve"> гуманитарной помощи</w:t>
      </w:r>
      <w:r>
        <w:rPr>
          <w:rFonts w:ascii="Times New Roman" w:hAnsi="Times New Roman" w:cs="Times New Roman"/>
          <w:sz w:val="28"/>
          <w:szCs w:val="28"/>
        </w:rPr>
        <w:t xml:space="preserve"> в зону проведения СВО</w:t>
      </w:r>
      <w:r>
        <w:rPr>
          <w:rFonts w:ascii="Times New Roman" w:hAnsi="Times New Roman" w:cs="Times New Roman"/>
          <w:sz w:val="28"/>
          <w:szCs w:val="28"/>
        </w:rPr>
        <w:t xml:space="preserve">, выплатах военнослужащим, поддержка семей военнослужащих. Также в данном блоке рассмотрены проблемы безопасности и правопорядка.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социальной сферы выражены в 49 обращениях (2024г. - 47). Преобла</w:t>
      </w:r>
      <w:r>
        <w:rPr>
          <w:rFonts w:ascii="Times New Roman" w:hAnsi="Times New Roman" w:cs="Times New Roman"/>
          <w:sz w:val="28"/>
          <w:szCs w:val="28"/>
        </w:rPr>
        <w:t xml:space="preserve">дающими в данном блоке являются вопросы образования, науки и культуры – 21. Рассмотрены вопросы конфликтных ситуаций в 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организациях, меры социальной поддержки педагогов, поступление в образовательные организации.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вопросам труда и занятос</w:t>
      </w:r>
      <w:r>
        <w:rPr>
          <w:rFonts w:ascii="Times New Roman" w:hAnsi="Times New Roman" w:cs="Times New Roman"/>
          <w:sz w:val="28"/>
          <w:szCs w:val="28"/>
        </w:rPr>
        <w:t xml:space="preserve">ти населения поступило 4 обращения, обращения по темам социального обеспечения и социального страхования составило 12, это по выплатам пособий материальной помощи. Тематический блок «Здравоохранение. Физическая культура и спорт. Туризм» содержит 8 обращени</w:t>
      </w:r>
      <w:r>
        <w:rPr>
          <w:rFonts w:ascii="Times New Roman" w:hAnsi="Times New Roman" w:cs="Times New Roman"/>
          <w:sz w:val="28"/>
          <w:szCs w:val="28"/>
        </w:rPr>
        <w:t xml:space="preserve">й. Большинство обращений касаются оказания медицинской помощи, </w:t>
      </w:r>
      <w:r>
        <w:rPr>
          <w:rFonts w:ascii="Times New Roman" w:hAnsi="Times New Roman" w:cs="Times New Roman"/>
          <w:sz w:val="28"/>
          <w:szCs w:val="28"/>
        </w:rPr>
        <w:t xml:space="preserve">работы аптек (4), материально-техническо</w:t>
      </w:r>
      <w:r>
        <w:rPr>
          <w:rFonts w:ascii="Times New Roman" w:hAnsi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cs="Times New Roman"/>
          <w:sz w:val="28"/>
          <w:szCs w:val="28"/>
        </w:rPr>
        <w:t xml:space="preserve"> и финансово</w:t>
      </w:r>
      <w:r>
        <w:rPr>
          <w:rFonts w:ascii="Times New Roman" w:hAnsi="Times New Roman" w:cs="Times New Roman"/>
          <w:sz w:val="28"/>
          <w:szCs w:val="28"/>
        </w:rPr>
        <w:t xml:space="preserve">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в сфере физической культ</w:t>
      </w:r>
      <w:r>
        <w:rPr>
          <w:rFonts w:ascii="Times New Roman" w:hAnsi="Times New Roman" w:cs="Times New Roman"/>
          <w:sz w:val="28"/>
          <w:szCs w:val="28"/>
        </w:rPr>
        <w:t xml:space="preserve">уры и спорта, популяризации и пропаганды физической культуры и спорта.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Экономические вопросы</w:t>
      </w:r>
      <w:r>
        <w:rPr>
          <w:rFonts w:ascii="Times New Roman" w:hAnsi="Times New Roman" w:cs="Times New Roman"/>
          <w:sz w:val="28"/>
          <w:szCs w:val="28"/>
        </w:rPr>
        <w:t xml:space="preserve"> содержаться в 48 обращениях (2024г.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- 85). Преобладающее количество обращений данного блока пос</w:t>
      </w:r>
      <w:r>
        <w:rPr>
          <w:rFonts w:ascii="Times New Roman" w:hAnsi="Times New Roman" w:cs="Times New Roman"/>
          <w:sz w:val="28"/>
          <w:szCs w:val="28"/>
        </w:rPr>
        <w:t xml:space="preserve">вящены хозяйственной деятельности (35). Рассмотрены заявления по вопросам качества транспортного обслуживания, пассажирских перевозок, качеств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связи, строительств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спортивных объектов. Проблемы использования природных ресурсов и охраны окружающей среды со</w:t>
      </w:r>
      <w:r>
        <w:rPr>
          <w:rFonts w:ascii="Times New Roman" w:hAnsi="Times New Roman" w:cs="Times New Roman"/>
          <w:sz w:val="28"/>
          <w:szCs w:val="28"/>
        </w:rPr>
        <w:t xml:space="preserve">держатся в 13 обращениях.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5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решено положительно 5 обращений (2024г. - 23), раъяснено 104 (2024г. - 83).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Проверено с выездом на место 0 обращений, за аналогичный период 2024 года обращений проверено с вы</w:t>
      </w:r>
      <w:r>
        <w:rPr>
          <w:rFonts w:ascii="Times New Roman" w:hAnsi="Times New Roman" w:cs="Times New Roman"/>
          <w:sz w:val="28"/>
          <w:szCs w:val="28"/>
        </w:rPr>
        <w:t xml:space="preserve">ездом на место 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обеспечения открытости и доступности органов власти для населения на официальном сайте района работает Интернет-приемная, где каждый желающий может обратиться с предложением, заявлением или жалобой.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усиления контроля </w:t>
      </w:r>
      <w:r>
        <w:rPr>
          <w:rFonts w:ascii="Times New Roman" w:hAnsi="Times New Roman" w:cs="Times New Roman"/>
          <w:sz w:val="28"/>
          <w:szCs w:val="28"/>
        </w:rPr>
        <w:t xml:space="preserve">качества и сроков рассмотрения обращений граждан, обеспечения прозрачности процесса работы исполнителей по ним, осуществление комплексного анализа обращений по хронологическим </w:t>
      </w:r>
      <w:r>
        <w:rPr>
          <w:rFonts w:ascii="Times New Roman" w:hAnsi="Times New Roman" w:cs="Times New Roman"/>
          <w:sz w:val="28"/>
          <w:szCs w:val="28"/>
        </w:rPr>
        <w:t xml:space="preserve">интервалам, тематическим, социальным и территориальным аспектам продолжается тех</w:t>
      </w:r>
      <w:r>
        <w:rPr>
          <w:rFonts w:ascii="Times New Roman" w:hAnsi="Times New Roman" w:cs="Times New Roman"/>
          <w:sz w:val="28"/>
          <w:szCs w:val="28"/>
        </w:rPr>
        <w:t xml:space="preserve">нологизация новых путей функционирования обратной связи.  Во исполнении Указа Президента Российской Федерации В.В. Путина «О мониторинге и анализе результатов рассмотрения обращений граждан и организаций» с июня 2017 года осуществляется работа в системе об</w:t>
      </w:r>
      <w:r>
        <w:rPr>
          <w:rFonts w:ascii="Times New Roman" w:hAnsi="Times New Roman" w:cs="Times New Roman"/>
          <w:sz w:val="28"/>
          <w:szCs w:val="28"/>
        </w:rPr>
        <w:t xml:space="preserve">щефедерального мониторинга рассмотрения обращений граждан на закрытом информационном ресурсе ССТУ.РФ. Таким образом, процесс и результаты рассмотрения обращений граждан руководством района через передачу с системы электронного документооборота отражаются в</w:t>
      </w:r>
      <w:r>
        <w:rPr>
          <w:rFonts w:ascii="Times New Roman" w:hAnsi="Times New Roman" w:cs="Times New Roman"/>
          <w:sz w:val="28"/>
          <w:szCs w:val="28"/>
        </w:rPr>
        <w:t xml:space="preserve">о всероссийском информационном ресурсе.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главных задач при организации работ</w:t>
      </w:r>
      <w:r>
        <w:rPr>
          <w:rFonts w:ascii="Times New Roman" w:hAnsi="Times New Roman" w:cs="Times New Roman"/>
          <w:sz w:val="28"/>
          <w:szCs w:val="28"/>
        </w:rPr>
        <w:t xml:space="preserve">ы с обращениями граждан является принятие мер по недопущению фактов нарушения сроков рассмотрения обращений, усиление требовательности к исполнителям и ответственность всех должностных лиц за соблюдением порядка рассмотрения обращений и подготовки ответов.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применяют различные формы и методы работы с населением. Одной из эффективных форм работы является организация и проведение собраний граждан в сельских поселениях, которые дают возможность сельским гражданам реализовать свои </w:t>
      </w:r>
      <w:r>
        <w:rPr>
          <w:rFonts w:ascii="Times New Roman" w:hAnsi="Times New Roman" w:cs="Times New Roman"/>
          <w:sz w:val="28"/>
          <w:szCs w:val="28"/>
        </w:rPr>
        <w:t xml:space="preserve">права по обращению к органам местного самоуправления, как в устной, так и в письменной форме. Собрания граждан проводятся согласно утвержденному графику с участием Главы района, руководителя Исполнительного комитета муниципального района, руководителей отд</w:t>
      </w:r>
      <w:r>
        <w:rPr>
          <w:rFonts w:ascii="Times New Roman" w:hAnsi="Times New Roman" w:cs="Times New Roman"/>
          <w:sz w:val="28"/>
          <w:szCs w:val="28"/>
        </w:rPr>
        <w:t xml:space="preserve">елов и служб жизнеобеспечения, депутатов представительных органов, представителей правоохранительных органов и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организаций. В 2025</w:t>
      </w:r>
      <w:r>
        <w:rPr>
          <w:rFonts w:ascii="Times New Roman" w:hAnsi="Times New Roman" w:cs="Times New Roman"/>
          <w:sz w:val="28"/>
          <w:szCs w:val="28"/>
        </w:rPr>
        <w:t xml:space="preserve"> году проведено</w:t>
      </w:r>
      <w:r>
        <w:rPr>
          <w:rFonts w:ascii="Times New Roman" w:hAnsi="Times New Roman" w:cs="Times New Roman"/>
          <w:sz w:val="28"/>
          <w:szCs w:val="28"/>
        </w:rPr>
        <w:t xml:space="preserve"> 40 сходов граждан и 12 собраний трудовых коллективов.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обращения граждан, поступающие в Совет Камско-Устьинского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Республики Татарстан, рассматриваются в соответствии с Федеральным законом от 2 мая 2006 года №59-ФЗ «О порядке рассмотрения обращений граждан Российской Федерации» и Законом Республики Татарстан от 12 мая 2003 года №16-ЗРТ «Об обращениях граждан в</w:t>
      </w:r>
      <w:r>
        <w:rPr>
          <w:rFonts w:ascii="Times New Roman" w:hAnsi="Times New Roman" w:cs="Times New Roman"/>
          <w:sz w:val="28"/>
          <w:szCs w:val="28"/>
        </w:rPr>
        <w:t xml:space="preserve"> Республике Татарстан».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обращений граждан размещается на официальном сайте Камско-Устьинского муниципального района.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СМР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Э.И.Гиниятова 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850" w:bottom="1134" w:left="1276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128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72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44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8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60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047"/>
      </w:pPr>
      <w:rPr>
        <w:rFonts w:hint="default"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5"/>
    <w:link w:val="65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65"/>
    <w:link w:val="65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18">
    <w:name w:val="Heading 3 Char"/>
    <w:basedOn w:val="665"/>
    <w:link w:val="65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5"/>
    <w:link w:val="65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5"/>
    <w:link w:val="66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5"/>
    <w:link w:val="66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5"/>
    <w:link w:val="66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5"/>
    <w:link w:val="66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5"/>
    <w:link w:val="66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5"/>
    <w:link w:val="679"/>
    <w:uiPriority w:val="10"/>
    <w:pPr>
      <w:pBdr/>
      <w:spacing/>
      <w:ind/>
    </w:pPr>
    <w:rPr>
      <w:sz w:val="48"/>
      <w:szCs w:val="48"/>
    </w:rPr>
  </w:style>
  <w:style w:type="character" w:styleId="37">
    <w:name w:val="Subtitle Char"/>
    <w:basedOn w:val="665"/>
    <w:link w:val="681"/>
    <w:uiPriority w:val="11"/>
    <w:pPr>
      <w:pBdr/>
      <w:spacing/>
      <w:ind/>
    </w:pPr>
    <w:rPr>
      <w:sz w:val="24"/>
      <w:szCs w:val="24"/>
    </w:rPr>
  </w:style>
  <w:style w:type="character" w:styleId="39">
    <w:name w:val="Quote Char"/>
    <w:link w:val="683"/>
    <w:uiPriority w:val="29"/>
    <w:pPr>
      <w:pBdr/>
      <w:spacing/>
      <w:ind/>
    </w:pPr>
    <w:rPr>
      <w:i/>
    </w:rPr>
  </w:style>
  <w:style w:type="character" w:styleId="41">
    <w:name w:val="Intense Quote Char"/>
    <w:link w:val="685"/>
    <w:uiPriority w:val="30"/>
    <w:pPr>
      <w:pBdr/>
      <w:spacing/>
      <w:ind/>
    </w:pPr>
    <w:rPr>
      <w:i/>
    </w:rPr>
  </w:style>
  <w:style w:type="character" w:styleId="43">
    <w:name w:val="Header Char"/>
    <w:basedOn w:val="665"/>
    <w:link w:val="687"/>
    <w:uiPriority w:val="99"/>
    <w:pPr>
      <w:pBdr/>
      <w:spacing/>
      <w:ind/>
    </w:pPr>
  </w:style>
  <w:style w:type="character" w:styleId="47">
    <w:name w:val="Caption Char"/>
    <w:basedOn w:val="691"/>
    <w:link w:val="689"/>
    <w:uiPriority w:val="99"/>
    <w:pPr>
      <w:pBdr/>
      <w:spacing/>
      <w:ind/>
    </w:pPr>
  </w:style>
  <w:style w:type="character" w:styleId="176">
    <w:name w:val="Footnote Text Char"/>
    <w:link w:val="818"/>
    <w:uiPriority w:val="99"/>
    <w:pPr>
      <w:pBdr/>
      <w:spacing/>
      <w:ind/>
    </w:pPr>
    <w:rPr>
      <w:sz w:val="18"/>
    </w:rPr>
  </w:style>
  <w:style w:type="character" w:styleId="179">
    <w:name w:val="Endnote Text Char"/>
    <w:link w:val="821"/>
    <w:uiPriority w:val="99"/>
    <w:pPr>
      <w:pBdr/>
      <w:spacing/>
      <w:ind/>
    </w:pPr>
    <w:rPr>
      <w:sz w:val="20"/>
    </w:rPr>
  </w:style>
  <w:style w:type="paragraph" w:styleId="655" w:default="1">
    <w:name w:val="Normal"/>
    <w:qFormat/>
    <w:pPr>
      <w:pBdr/>
      <w:spacing/>
      <w:ind/>
    </w:pPr>
  </w:style>
  <w:style w:type="paragraph" w:styleId="656">
    <w:name w:val="Heading 1"/>
    <w:basedOn w:val="655"/>
    <w:next w:val="655"/>
    <w:link w:val="668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657">
    <w:name w:val="Heading 2"/>
    <w:basedOn w:val="655"/>
    <w:next w:val="655"/>
    <w:link w:val="669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658">
    <w:name w:val="Heading 3"/>
    <w:basedOn w:val="655"/>
    <w:next w:val="655"/>
    <w:link w:val="670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659">
    <w:name w:val="Heading 4"/>
    <w:basedOn w:val="655"/>
    <w:next w:val="655"/>
    <w:link w:val="671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0">
    <w:name w:val="Heading 5"/>
    <w:basedOn w:val="655"/>
    <w:next w:val="655"/>
    <w:link w:val="67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1">
    <w:name w:val="Heading 6"/>
    <w:basedOn w:val="655"/>
    <w:next w:val="655"/>
    <w:link w:val="673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</w:rPr>
  </w:style>
  <w:style w:type="paragraph" w:styleId="662">
    <w:name w:val="Heading 7"/>
    <w:basedOn w:val="655"/>
    <w:next w:val="655"/>
    <w:link w:val="674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663">
    <w:name w:val="Heading 8"/>
    <w:basedOn w:val="655"/>
    <w:next w:val="655"/>
    <w:link w:val="675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</w:rPr>
  </w:style>
  <w:style w:type="paragraph" w:styleId="664">
    <w:name w:val="Heading 9"/>
    <w:basedOn w:val="655"/>
    <w:next w:val="655"/>
    <w:link w:val="676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5" w:default="1">
    <w:name w:val="Default Paragraph Font"/>
    <w:uiPriority w:val="1"/>
    <w:semiHidden/>
    <w:unhideWhenUsed/>
    <w:pPr>
      <w:pBdr/>
      <w:spacing/>
      <w:ind/>
    </w:pPr>
  </w:style>
  <w:style w:type="table" w:styleId="66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7" w:default="1">
    <w:name w:val="No List"/>
    <w:uiPriority w:val="99"/>
    <w:semiHidden/>
    <w:unhideWhenUsed/>
    <w:pPr>
      <w:pBdr/>
      <w:spacing/>
      <w:ind/>
    </w:pPr>
  </w:style>
  <w:style w:type="character" w:styleId="668" w:customStyle="1">
    <w:name w:val="Заголовок 1 Знак"/>
    <w:basedOn w:val="665"/>
    <w:link w:val="65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9" w:customStyle="1">
    <w:name w:val="Заголовок 2 Знак"/>
    <w:basedOn w:val="665"/>
    <w:link w:val="65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70" w:customStyle="1">
    <w:name w:val="Заголовок 3 Знак"/>
    <w:basedOn w:val="665"/>
    <w:link w:val="65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71" w:customStyle="1">
    <w:name w:val="Заголовок 4 Знак"/>
    <w:basedOn w:val="665"/>
    <w:link w:val="65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72" w:customStyle="1">
    <w:name w:val="Заголовок 5 Знак"/>
    <w:basedOn w:val="665"/>
    <w:link w:val="66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3" w:customStyle="1">
    <w:name w:val="Заголовок 6 Знак"/>
    <w:basedOn w:val="665"/>
    <w:link w:val="66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4" w:customStyle="1">
    <w:name w:val="Заголовок 7 Знак"/>
    <w:basedOn w:val="665"/>
    <w:link w:val="66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 w:customStyle="1">
    <w:name w:val="Заголовок 8 Знак"/>
    <w:basedOn w:val="665"/>
    <w:link w:val="66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6" w:customStyle="1">
    <w:name w:val="Заголовок 9 Знак"/>
    <w:basedOn w:val="665"/>
    <w:link w:val="66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77">
    <w:name w:val="List Paragraph"/>
    <w:basedOn w:val="655"/>
    <w:uiPriority w:val="34"/>
    <w:qFormat/>
    <w:pPr>
      <w:pBdr/>
      <w:spacing/>
      <w:ind w:left="720"/>
      <w:contextualSpacing w:val="true"/>
    </w:pPr>
  </w:style>
  <w:style w:type="paragraph" w:styleId="678">
    <w:name w:val="No Spacing"/>
    <w:uiPriority w:val="1"/>
    <w:qFormat/>
    <w:pPr>
      <w:pBdr/>
      <w:spacing w:after="0" w:line="240" w:lineRule="auto"/>
      <w:ind/>
    </w:pPr>
  </w:style>
  <w:style w:type="paragraph" w:styleId="679">
    <w:name w:val="Title"/>
    <w:basedOn w:val="655"/>
    <w:next w:val="655"/>
    <w:link w:val="680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80" w:customStyle="1">
    <w:name w:val="Заголовок Знак"/>
    <w:basedOn w:val="665"/>
    <w:link w:val="679"/>
    <w:uiPriority w:val="10"/>
    <w:pPr>
      <w:pBdr/>
      <w:spacing/>
      <w:ind/>
    </w:pPr>
    <w:rPr>
      <w:sz w:val="48"/>
      <w:szCs w:val="48"/>
    </w:rPr>
  </w:style>
  <w:style w:type="paragraph" w:styleId="681">
    <w:name w:val="Subtitle"/>
    <w:basedOn w:val="655"/>
    <w:next w:val="655"/>
    <w:link w:val="682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682" w:customStyle="1">
    <w:name w:val="Подзаголовок Знак"/>
    <w:basedOn w:val="665"/>
    <w:link w:val="681"/>
    <w:uiPriority w:val="11"/>
    <w:pPr>
      <w:pBdr/>
      <w:spacing/>
      <w:ind/>
    </w:pPr>
    <w:rPr>
      <w:sz w:val="24"/>
      <w:szCs w:val="24"/>
    </w:rPr>
  </w:style>
  <w:style w:type="paragraph" w:styleId="683">
    <w:name w:val="Quote"/>
    <w:basedOn w:val="655"/>
    <w:next w:val="655"/>
    <w:link w:val="684"/>
    <w:uiPriority w:val="29"/>
    <w:qFormat/>
    <w:pPr>
      <w:pBdr/>
      <w:spacing/>
      <w:ind w:right="720" w:left="720"/>
    </w:pPr>
    <w:rPr>
      <w:i/>
    </w:rPr>
  </w:style>
  <w:style w:type="character" w:styleId="684" w:customStyle="1">
    <w:name w:val="Цитата 2 Знак"/>
    <w:link w:val="683"/>
    <w:uiPriority w:val="29"/>
    <w:pPr>
      <w:pBdr/>
      <w:spacing/>
      <w:ind/>
    </w:pPr>
    <w:rPr>
      <w:i/>
    </w:rPr>
  </w:style>
  <w:style w:type="paragraph" w:styleId="685">
    <w:name w:val="Intense Quote"/>
    <w:basedOn w:val="655"/>
    <w:next w:val="655"/>
    <w:link w:val="68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686" w:customStyle="1">
    <w:name w:val="Выделенная цитата Знак"/>
    <w:link w:val="685"/>
    <w:uiPriority w:val="30"/>
    <w:pPr>
      <w:pBdr/>
      <w:spacing/>
      <w:ind/>
    </w:pPr>
    <w:rPr>
      <w:i/>
    </w:rPr>
  </w:style>
  <w:style w:type="paragraph" w:styleId="687">
    <w:name w:val="Header"/>
    <w:basedOn w:val="655"/>
    <w:link w:val="688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8" w:customStyle="1">
    <w:name w:val="Верхний колонтитул Знак"/>
    <w:basedOn w:val="665"/>
    <w:link w:val="687"/>
    <w:uiPriority w:val="99"/>
    <w:pPr>
      <w:pBdr/>
      <w:spacing/>
      <w:ind/>
    </w:pPr>
  </w:style>
  <w:style w:type="paragraph" w:styleId="689">
    <w:name w:val="Footer"/>
    <w:basedOn w:val="655"/>
    <w:link w:val="69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90" w:customStyle="1">
    <w:name w:val="Footer Char"/>
    <w:basedOn w:val="665"/>
    <w:uiPriority w:val="99"/>
    <w:pPr>
      <w:pBdr/>
      <w:spacing/>
      <w:ind/>
    </w:pPr>
  </w:style>
  <w:style w:type="paragraph" w:styleId="691">
    <w:name w:val="Caption"/>
    <w:basedOn w:val="655"/>
    <w:next w:val="655"/>
    <w:uiPriority w:val="35"/>
    <w:semiHidden/>
    <w:unhideWhenUsed/>
    <w:qFormat/>
    <w:pPr>
      <w:pBdr/>
      <w:spacing w:line="276" w:lineRule="auto"/>
      <w:ind/>
    </w:pPr>
    <w:rPr>
      <w:b/>
      <w:bCs/>
      <w:color w:val="5b9bd5" w:themeColor="accent1"/>
      <w:sz w:val="18"/>
      <w:szCs w:val="18"/>
    </w:rPr>
  </w:style>
  <w:style w:type="character" w:styleId="692" w:customStyle="1">
    <w:name w:val="Нижний колонтитул Знак"/>
    <w:link w:val="689"/>
    <w:uiPriority w:val="99"/>
    <w:pPr>
      <w:pBdr/>
      <w:spacing/>
      <w:ind/>
    </w:pPr>
  </w:style>
  <w:style w:type="table" w:styleId="693" w:customStyle="1">
    <w:name w:val="Table Grid Light"/>
    <w:basedOn w:val="666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Plain Table 1"/>
    <w:basedOn w:val="666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Plain Table 2"/>
    <w:basedOn w:val="666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Plain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Plain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Plain Table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 w:customStyle="1">
    <w:name w:val="Grid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 w:customStyle="1">
    <w:name w:val="Grid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 w:customStyle="1">
    <w:name w:val="Grid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 w:customStyle="1">
    <w:name w:val="Grid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 w:customStyle="1">
    <w:name w:val="Grid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 w:customStyle="1">
    <w:name w:val="Grid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 w:customStyle="1">
    <w:name w:val="Grid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 w:customStyle="1">
    <w:name w:val="Grid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 w:customStyle="1">
    <w:name w:val="Grid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 w:customStyle="1">
    <w:name w:val="Grid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 w:customStyle="1">
    <w:name w:val="Grid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 w:customStyle="1">
    <w:name w:val="Grid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 w:customStyle="1">
    <w:name w:val="Grid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 w:customStyle="1">
    <w:name w:val="Grid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 w:customStyle="1">
    <w:name w:val="Grid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 w:customStyle="1">
    <w:name w:val="Grid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Grid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Grid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Grid Table 4 - Accent 1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 w:customStyle="1">
    <w:name w:val="Grid Table 4 - Accent 2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Grid Table 4 - Accent 3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Grid Table 4 - Accent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Grid Table 4 - Accent 5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Grid Table 4 - Accent 6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Grid Table 5 Dark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Grid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Grid Table 5 Dark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Grid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Grid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Grid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Grid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List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List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List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List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List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List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List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List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List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List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List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List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List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List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List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List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List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List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List Table 4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List Table 4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List Table 4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List Table 4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st Table 4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st Table 4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List Table 5 Dark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List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List Table 5 Dark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st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List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List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List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ned - Accent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ned - Accent 1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ned - Accent 2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ned - Accent 3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ned - Accent 4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ned - Accent 5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ned - Accent 6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Bordered &amp; Lined - Accent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Bordered &amp; Lined - Accent 1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Bordered &amp; Lined - Accent 2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Bordered &amp; Lined - Accent 3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Bordered &amp; Lined - Accent 4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Bordered &amp; Lined - Accent 5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Bordered &amp; Lined - Accent 6"/>
    <w:basedOn w:val="66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Bordered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Bordered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Bordered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Bordered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Bordered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Bordered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Bordered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8">
    <w:name w:val="footnote text"/>
    <w:basedOn w:val="655"/>
    <w:link w:val="819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9" w:customStyle="1">
    <w:name w:val="Текст сноски Знак"/>
    <w:link w:val="818"/>
    <w:uiPriority w:val="99"/>
    <w:pPr>
      <w:pBdr/>
      <w:spacing/>
      <w:ind/>
    </w:pPr>
    <w:rPr>
      <w:sz w:val="18"/>
    </w:rPr>
  </w:style>
  <w:style w:type="character" w:styleId="820">
    <w:name w:val="footnote reference"/>
    <w:basedOn w:val="665"/>
    <w:uiPriority w:val="99"/>
    <w:unhideWhenUsed/>
    <w:pPr>
      <w:pBdr/>
      <w:spacing/>
      <w:ind/>
    </w:pPr>
    <w:rPr>
      <w:vertAlign w:val="superscript"/>
    </w:rPr>
  </w:style>
  <w:style w:type="paragraph" w:styleId="821">
    <w:name w:val="endnote text"/>
    <w:basedOn w:val="655"/>
    <w:link w:val="822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22" w:customStyle="1">
    <w:name w:val="Текст концевой сноски Знак"/>
    <w:link w:val="821"/>
    <w:uiPriority w:val="99"/>
    <w:pPr>
      <w:pBdr/>
      <w:spacing/>
      <w:ind/>
    </w:pPr>
    <w:rPr>
      <w:sz w:val="20"/>
    </w:rPr>
  </w:style>
  <w:style w:type="character" w:styleId="823">
    <w:name w:val="endnote reference"/>
    <w:basedOn w:val="665"/>
    <w:uiPriority w:val="99"/>
    <w:semiHidden/>
    <w:unhideWhenUsed/>
    <w:pPr>
      <w:pBdr/>
      <w:spacing/>
      <w:ind/>
    </w:pPr>
    <w:rPr>
      <w:vertAlign w:val="superscript"/>
    </w:rPr>
  </w:style>
  <w:style w:type="paragraph" w:styleId="824">
    <w:name w:val="toc 1"/>
    <w:basedOn w:val="655"/>
    <w:next w:val="655"/>
    <w:uiPriority w:val="39"/>
    <w:unhideWhenUsed/>
    <w:pPr>
      <w:pBdr/>
      <w:spacing w:after="57"/>
      <w:ind/>
    </w:pPr>
  </w:style>
  <w:style w:type="paragraph" w:styleId="825">
    <w:name w:val="toc 2"/>
    <w:basedOn w:val="655"/>
    <w:next w:val="655"/>
    <w:uiPriority w:val="39"/>
    <w:unhideWhenUsed/>
    <w:pPr>
      <w:pBdr/>
      <w:spacing w:after="57"/>
      <w:ind w:left="283"/>
    </w:pPr>
  </w:style>
  <w:style w:type="paragraph" w:styleId="826">
    <w:name w:val="toc 3"/>
    <w:basedOn w:val="655"/>
    <w:next w:val="655"/>
    <w:uiPriority w:val="39"/>
    <w:unhideWhenUsed/>
    <w:pPr>
      <w:pBdr/>
      <w:spacing w:after="57"/>
      <w:ind w:left="567"/>
    </w:pPr>
  </w:style>
  <w:style w:type="paragraph" w:styleId="827">
    <w:name w:val="toc 4"/>
    <w:basedOn w:val="655"/>
    <w:next w:val="655"/>
    <w:uiPriority w:val="39"/>
    <w:unhideWhenUsed/>
    <w:pPr>
      <w:pBdr/>
      <w:spacing w:after="57"/>
      <w:ind w:left="850"/>
    </w:pPr>
  </w:style>
  <w:style w:type="paragraph" w:styleId="828">
    <w:name w:val="toc 5"/>
    <w:basedOn w:val="655"/>
    <w:next w:val="655"/>
    <w:uiPriority w:val="39"/>
    <w:unhideWhenUsed/>
    <w:pPr>
      <w:pBdr/>
      <w:spacing w:after="57"/>
      <w:ind w:left="1134"/>
    </w:pPr>
  </w:style>
  <w:style w:type="paragraph" w:styleId="829">
    <w:name w:val="toc 6"/>
    <w:basedOn w:val="655"/>
    <w:next w:val="655"/>
    <w:uiPriority w:val="39"/>
    <w:unhideWhenUsed/>
    <w:pPr>
      <w:pBdr/>
      <w:spacing w:after="57"/>
      <w:ind w:left="1417"/>
    </w:pPr>
  </w:style>
  <w:style w:type="paragraph" w:styleId="830">
    <w:name w:val="toc 7"/>
    <w:basedOn w:val="655"/>
    <w:next w:val="655"/>
    <w:uiPriority w:val="39"/>
    <w:unhideWhenUsed/>
    <w:pPr>
      <w:pBdr/>
      <w:spacing w:after="57"/>
      <w:ind w:left="1701"/>
    </w:pPr>
  </w:style>
  <w:style w:type="paragraph" w:styleId="831">
    <w:name w:val="toc 8"/>
    <w:basedOn w:val="655"/>
    <w:next w:val="655"/>
    <w:uiPriority w:val="39"/>
    <w:unhideWhenUsed/>
    <w:pPr>
      <w:pBdr/>
      <w:spacing w:after="57"/>
      <w:ind w:left="1984"/>
    </w:pPr>
  </w:style>
  <w:style w:type="paragraph" w:styleId="832">
    <w:name w:val="toc 9"/>
    <w:basedOn w:val="655"/>
    <w:next w:val="655"/>
    <w:uiPriority w:val="39"/>
    <w:unhideWhenUsed/>
    <w:pPr>
      <w:pBdr/>
      <w:spacing w:after="57"/>
      <w:ind w:left="2268"/>
    </w:pPr>
  </w:style>
  <w:style w:type="paragraph" w:styleId="833">
    <w:name w:val="TOC Heading"/>
    <w:uiPriority w:val="39"/>
    <w:unhideWhenUsed/>
    <w:pPr>
      <w:pBdr/>
      <w:spacing/>
      <w:ind/>
    </w:pPr>
  </w:style>
  <w:style w:type="paragraph" w:styleId="834">
    <w:name w:val="table of figures"/>
    <w:basedOn w:val="655"/>
    <w:next w:val="655"/>
    <w:uiPriority w:val="99"/>
    <w:unhideWhenUsed/>
    <w:pPr>
      <w:pBdr/>
      <w:spacing w:after="0"/>
      <w:ind/>
    </w:pPr>
  </w:style>
  <w:style w:type="character" w:styleId="835">
    <w:name w:val="Hyperlink"/>
    <w:basedOn w:val="665"/>
    <w:uiPriority w:val="99"/>
    <w:unhideWhenUsed/>
    <w:pPr>
      <w:pBdr/>
      <w:spacing/>
      <w:ind/>
    </w:pPr>
    <w:rPr>
      <w:color w:val="0563c1" w:themeColor="hyperlink"/>
      <w:u w:val="single"/>
    </w:rPr>
  </w:style>
  <w:style w:type="table" w:styleId="836">
    <w:name w:val="Table Grid"/>
    <w:basedOn w:val="666"/>
    <w:uiPriority w:val="59"/>
    <w:pPr>
      <w:pBdr/>
      <w:spacing w:after="0" w:line="240" w:lineRule="auto"/>
      <w:ind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7">
    <w:name w:val="Balloon Text"/>
    <w:basedOn w:val="655"/>
    <w:link w:val="838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838" w:customStyle="1">
    <w:name w:val="Текст выноски Знак"/>
    <w:basedOn w:val="665"/>
    <w:link w:val="837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839" w:customStyle="1">
    <w:name w:val="th-13"/>
    <w:qFormat/>
    <w:pPr>
      <w:pBdr>
        <w:top w:val="none" w:color="000000" w:sz="4" w:space="0"/>
        <w:left w:val="single" w:color="000000" w:sz="1" w:space="3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  <w:ind/>
      <w:contextualSpacing w:val="true"/>
    </w:pPr>
    <w:rPr>
      <w:rFonts w:ascii="Arial" w:hAnsi="Arial" w:eastAsia="Arial" w:cs="Arial"/>
    </w:rPr>
  </w:style>
  <w:style w:type="character" w:styleId="840" w:customStyle="1">
    <w:name w:val="th-13-c"/>
    <w:basedOn w:val="670"/>
    <w:pPr>
      <w:pBdr/>
      <w:spacing/>
      <w:ind/>
    </w:pPr>
    <w:rPr>
      <w:rFonts w:ascii="Times New Roman" w:hAnsi="Times New Roman" w:eastAsia="Times New Roman" w:cs="Times New Roman"/>
      <w:sz w:val="28"/>
      <w:szCs w:val="28"/>
    </w:rPr>
  </w:style>
  <w:style w:type="paragraph" w:styleId="841" w:customStyle="1">
    <w:name w:val="td-21"/>
    <w:qFormat/>
    <w:pPr>
      <w:pBdr>
        <w:top w:val="none" w:color="000000" w:sz="4" w:space="0"/>
        <w:left w:val="single" w:color="000000" w:sz="1" w:space="3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  <w:ind/>
      <w:contextualSpacing w:val="true"/>
    </w:pPr>
    <w:rPr>
      <w:rFonts w:ascii="Arial" w:hAnsi="Arial" w:eastAsia="Arial" w:cs="Arial"/>
    </w:rPr>
  </w:style>
  <w:style w:type="character" w:styleId="842" w:customStyle="1">
    <w:name w:val="td-21-c"/>
    <w:basedOn w:val="670"/>
    <w:pPr>
      <w:pBdr/>
      <w:spacing/>
      <w:ind/>
    </w:pPr>
    <w:rPr>
      <w:rFonts w:ascii="Times New Roman" w:hAnsi="Times New Roman" w:eastAsia="Times New Roman" w:cs="Times New Roman"/>
      <w:sz w:val="28"/>
      <w:szCs w:val="28"/>
    </w:rPr>
  </w:style>
  <w:style w:type="paragraph" w:styleId="843" w:customStyle="1">
    <w:name w:val="strong-196"/>
    <w:qFormat/>
    <w:pPr>
      <w:pBdr>
        <w:top w:val="none" w:color="000000" w:sz="4" w:space="0"/>
        <w:left w:val="single" w:color="000000" w:sz="1" w:space="3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  <w:ind/>
      <w:contextualSpacing w:val="true"/>
    </w:pPr>
    <w:rPr>
      <w:rFonts w:ascii="Arial" w:hAnsi="Arial" w:eastAsia="Arial" w:cs="Arial"/>
    </w:rPr>
  </w:style>
  <w:style w:type="character" w:styleId="844" w:customStyle="1">
    <w:name w:val="strong-196-c"/>
    <w:basedOn w:val="670"/>
    <w:pPr>
      <w:pBdr/>
      <w:spacing/>
      <w:ind/>
    </w:pPr>
    <w:rPr>
      <w:rFonts w:ascii="Times New Roman" w:hAnsi="Times New Roman" w:eastAsia="Times New Roman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hart" Target="charts/chart1.xml" /><Relationship Id="rId10" Type="http://schemas.openxmlformats.org/officeDocument/2006/relationships/chart" Target="charts/chart2.xml" /><Relationship Id="rId11" Type="http://schemas.openxmlformats.org/officeDocument/2006/relationships/chart" Target="charts/chart3.xml" /><Relationship Id="rId12" Type="http://schemas.openxmlformats.org/officeDocument/2006/relationships/chart" Target="charts/chart4.xml" /><Relationship Id="rId13" Type="http://schemas.openxmlformats.org/officeDocument/2006/relationships/chart" Target="charts/chart5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microsoft.com/office/2011/relationships/chartStyle" Target="style1.xml" /><Relationship Id="rId2" Type="http://schemas.microsoft.com/office/2011/relationships/chartColorStyle" Target="colors1.xml" /><Relationship Id="rId3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microsoft.com/office/2011/relationships/chartStyle" Target="style2.xml" /><Relationship Id="rId2" Type="http://schemas.microsoft.com/office/2011/relationships/chartColorStyle" Target="colors2.xml" /><Relationship Id="rId3" Type="http://schemas.openxmlformats.org/officeDocument/2006/relationships/package" Target="../embeddings/Microsoft_Excel_Worksheet2.xlsx" /></Relationships>
</file>

<file path=word/charts/_rels/chart3.xml.rels><?xml version="1.0" encoding="UTF-8" standalone="yes"?><Relationships xmlns="http://schemas.openxmlformats.org/package/2006/relationships"><Relationship Id="rId1" Type="http://schemas.microsoft.com/office/2011/relationships/chartStyle" Target="style3.xml" /><Relationship Id="rId2" Type="http://schemas.microsoft.com/office/2011/relationships/chartColorStyle" Target="colors3.xml" /><Relationship Id="rId3" Type="http://schemas.openxmlformats.org/officeDocument/2006/relationships/package" Target="../embeddings/Microsoft_Excel_Worksheet3.xlsx" /></Relationships>
</file>

<file path=word/charts/_rels/chart4.xml.rels><?xml version="1.0" encoding="UTF-8" standalone="yes"?><Relationships xmlns="http://schemas.openxmlformats.org/package/2006/relationships"><Relationship Id="rId1" Type="http://schemas.microsoft.com/office/2011/relationships/chartStyle" Target="style4.xml" /><Relationship Id="rId2" Type="http://schemas.microsoft.com/office/2011/relationships/chartColorStyle" Target="colors4.xml" /><Relationship Id="rId3" Type="http://schemas.openxmlformats.org/officeDocument/2006/relationships/package" Target="../embeddings/Microsoft_Excel_Worksheet4.xlsx" /></Relationships>
</file>

<file path=word/charts/_rels/chart5.xml.rels><?xml version="1.0" encoding="UTF-8" standalone="yes"?><Relationships xmlns="http://schemas.openxmlformats.org/package/2006/relationships"><Relationship Id="rId1" Type="http://schemas.microsoft.com/office/2011/relationships/chartStyle" Target="style5.xml" /><Relationship Id="rId2" Type="http://schemas.microsoft.com/office/2011/relationships/chartColorStyle" Target="colors5.xml" /><Relationship Id="rId3" Type="http://schemas.openxmlformats.org/officeDocument/2006/relationships/package" Target="../embeddings/Microsoft_Excel_Worksheet5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spc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solidFill>
                  <a:srgbClr val="C00000"/>
                </a:solidFill>
              </a:rPr>
              <a:t>Количество письменных и устных обращений граждан</a:t>
            </a:r>
            <a:endParaRPr/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spc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271</c:v>
                </c:pt>
                <c:pt idx="1">
                  <c:v>235</c:v>
                </c:pt>
                <c:pt idx="2">
                  <c:v>272</c:v>
                </c:pt>
                <c:pt idx="3">
                  <c:v>253</c:v>
                </c:pt>
                <c:pt idx="4">
                  <c:v>273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219"/>
        <c:overlap val="-27"/>
        <c:axId val="447440608"/>
        <c:axId val="447436672"/>
      </c:barChart>
      <c:catAx>
        <c:axId val="447440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1" i="0" u="none" strike="noStrike">
                <a:solidFill>
                  <a:srgbClr val="C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7436672"/>
        <c:crosses val="autoZero"/>
        <c:auto val="1"/>
        <c:lblAlgn val="ctr"/>
        <c:lblOffset val="100"/>
        <c:noMultiLvlLbl val="0"/>
      </c:catAx>
      <c:valAx>
        <c:axId val="447436672"/>
        <c:scaling>
          <c:orientation val="minMax"/>
          <c:max val="300.000000"/>
          <c:min val="0.000000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ln>
                  <a:noFill/>
                </a:ln>
                <a:solidFill>
                  <a:schemeClr val="tx1">
                    <a:alpha val="58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7440608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gradFill>
      <a:gsLst>
        <a:gs pos="0">
          <a:schemeClr val="accent1">
            <a:lumMod val="5000"/>
            <a:lumOff val="95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spc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  <a:r>
              <a:rPr lang="ru-RU" sz="1800" b="1">
                <a:solidFill>
                  <a:srgbClr val="C00000"/>
                </a:solidFill>
              </a:rPr>
              <a:t>Количество личных приемов граждан</a:t>
            </a:r>
            <a:endParaRPr lang="en-US" sz="1800" b="1">
              <a:solidFill>
                <a:srgbClr val="C00000"/>
              </a:solidFill>
            </a:endParaRPr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spc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081225"/>
          <c:y val="0.166568"/>
          <c:w val="0.897942"/>
          <c:h val="0.6506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90</c:v>
                </c:pt>
                <c:pt idx="1">
                  <c:v>102</c:v>
                </c:pt>
                <c:pt idx="2">
                  <c:v>131</c:v>
                </c:pt>
                <c:pt idx="3">
                  <c:v>82</c:v>
                </c:pt>
                <c:pt idx="4">
                  <c:v>110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219"/>
        <c:overlap val="-27"/>
        <c:axId val="519903448"/>
        <c:axId val="519905088"/>
      </c:barChart>
      <c:catAx>
        <c:axId val="519903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1" i="0" u="none" strike="noStrike">
                <a:solidFill>
                  <a:srgbClr val="C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9905088"/>
        <c:crosses val="autoZero"/>
        <c:auto val="1"/>
        <c:lblAlgn val="ctr"/>
        <c:lblOffset val="100"/>
        <c:noMultiLvlLbl val="0"/>
      </c:catAx>
      <c:valAx>
        <c:axId val="519905088"/>
        <c:scaling>
          <c:orientation val="minMax"/>
          <c:max val="150.000000"/>
          <c:min val="50.000000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9903448"/>
        <c:crosses val="autoZero"/>
        <c:crossBetween val="between"/>
        <c:majorUnit val="50.000000"/>
        <c:minorUnit val="10.000000"/>
      </c:valAx>
      <c:spPr bwMode="auto"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spc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C00000"/>
                </a:solidFill>
              </a:rPr>
              <a:t>Количество обращений, поступивших из Администрации Президента Российской Федерации, из Администрации Раиса Республики Татарстан, из Аппарата Кабинета Министров Республики Татарстан и из других республиканских министерств и ведомств</a:t>
            </a:r>
            <a:endParaRPr/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spc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49</c:v>
                </c:pt>
                <c:pt idx="1">
                  <c:v>51</c:v>
                </c:pt>
                <c:pt idx="2">
                  <c:v>57</c:v>
                </c:pt>
                <c:pt idx="3">
                  <c:v>110</c:v>
                </c:pt>
                <c:pt idx="4">
                  <c:v>113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219"/>
        <c:overlap val="-27"/>
        <c:axId val="535427456"/>
        <c:axId val="535424832"/>
      </c:barChart>
      <c:catAx>
        <c:axId val="535427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>
                <a:solidFill>
                  <a:srgbClr val="C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5424832"/>
        <c:crosses val="autoZero"/>
        <c:auto val="1"/>
        <c:lblAlgn val="ctr"/>
        <c:lblOffset val="100"/>
        <c:noMultiLvlLbl val="0"/>
      </c:catAx>
      <c:valAx>
        <c:axId val="535424832"/>
        <c:scaling>
          <c:orientation val="minMax"/>
          <c:max val="100.000000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5427456"/>
        <c:crosses val="autoZero"/>
        <c:crossBetween val="between"/>
        <c:majorUnit val="20.000000"/>
      </c:valAx>
      <c:spPr bwMode="auto"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spc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C00000"/>
                </a:solidFill>
              </a:rPr>
              <a:t>Количество обращений, поступивших в электронном виде</a:t>
            </a:r>
            <a:endParaRPr lang="ru-RU"/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spc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64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76</c:v>
                </c:pt>
                <c:pt idx="1">
                  <c:v>88</c:v>
                </c:pt>
                <c:pt idx="2">
                  <c:v>64</c:v>
                </c:pt>
                <c:pt idx="3">
                  <c:v>76</c:v>
                </c:pt>
                <c:pt idx="4">
                  <c:v>73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219"/>
        <c:overlap val="-27"/>
        <c:axId val="535427784"/>
        <c:axId val="535422536"/>
      </c:barChart>
      <c:catAx>
        <c:axId val="535427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>
                <a:solidFill>
                  <a:srgbClr val="C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5422536"/>
        <c:crosses val="autoZero"/>
        <c:auto val="1"/>
        <c:lblAlgn val="ctr"/>
        <c:lblOffset val="100"/>
        <c:noMultiLvlLbl val="0"/>
      </c:catAx>
      <c:valAx>
        <c:axId val="535422536"/>
        <c:scaling>
          <c:orientation val="minMax"/>
          <c:max val="100.000000"/>
          <c:min val="0.000000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5427784"/>
        <c:crosses val="autoZero"/>
        <c:crossBetween val="between"/>
        <c:majorUnit val="20.000000"/>
      </c:valAx>
      <c:spPr bwMode="auto"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spc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C00000"/>
                </a:solidFill>
              </a:rPr>
              <a:t>Тематическая раскладка обращений граждан</a:t>
            </a:r>
            <a:endParaRPr lang="ru-RU"/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spc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государство, общество, политика</c:v>
                </c:pt>
                <c:pt idx="1">
                  <c:v>Социальная сфера</c:v>
                </c:pt>
                <c:pt idx="2">
                  <c:v>Экономика</c:v>
                </c:pt>
                <c:pt idx="3">
                  <c:v>ЖКХ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53</c:v>
                </c:pt>
                <c:pt idx="1">
                  <c:v>47</c:v>
                </c:pt>
                <c:pt idx="2">
                  <c:v>85</c:v>
                </c:pt>
                <c:pt idx="3">
                  <c:v>59</c:v>
                </c:pt>
                <c:pt idx="4">
                  <c:v>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государство, общество, политика</c:v>
                </c:pt>
                <c:pt idx="1">
                  <c:v>Социальная сфера</c:v>
                </c:pt>
                <c:pt idx="2">
                  <c:v>Экономика</c:v>
                </c:pt>
                <c:pt idx="3">
                  <c:v>ЖКХ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117</c:v>
                </c:pt>
                <c:pt idx="1">
                  <c:v>49</c:v>
                </c:pt>
                <c:pt idx="2">
                  <c:v>48</c:v>
                </c:pt>
                <c:pt idx="3">
                  <c:v>71</c:v>
                </c:pt>
                <c:pt idx="4">
                  <c:v>10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219"/>
        <c:overlap val="-27"/>
        <c:axId val="671096416"/>
        <c:axId val="671093792"/>
      </c:barChart>
      <c:catAx>
        <c:axId val="671096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71093792"/>
        <c:crosses val="autoZero"/>
        <c:auto val="1"/>
        <c:lblAlgn val="ctr"/>
        <c:lblOffset val="100"/>
        <c:noMultiLvlLbl val="0"/>
      </c:catAx>
      <c:valAx>
        <c:axId val="671093792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71096416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 bwMode="auto">
      <a:prstGeom prst="rect">
        <a:avLst/>
      </a:prstGeom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/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 bwMode="auto">
      <a:prstGeom prst="rect">
        <a:avLst/>
      </a:prstGeom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/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 bwMode="auto">
      <a:prstGeom prst="rect">
        <a:avLst/>
      </a:prstGeom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/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 bwMode="auto">
      <a:prstGeom prst="rect">
        <a:avLst/>
      </a:prstGeom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/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 bwMode="auto">
      <a:prstGeom prst="rect">
        <a:avLst/>
      </a:prstGeom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/>
</cs:chartStyl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revision>64</cp:revision>
  <dcterms:created xsi:type="dcterms:W3CDTF">2024-01-10T11:07:00Z</dcterms:created>
  <dcterms:modified xsi:type="dcterms:W3CDTF">2026-06-11T06:15:33Z</dcterms:modified>
</cp:coreProperties>
</file>