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charts/colors5.xml" ContentType="application/vnd.ms-office.chartcolorstyle+xml"/>
  <Override PartName="/word/charts/chart5.xml" ContentType="application/vnd.openxmlformats-officedocument.drawingml.chart+xml"/>
  <Override PartName="/word/charts/style3.xml" ContentType="application/vnd.ms-office.chartstyle+xml"/>
  <Override PartName="/word/charts/style2.xml" ContentType="application/vnd.ms-office.chartstyle+xml"/>
  <Override PartName="/word/charts/colors3.xml" ContentType="application/vnd.ms-office.chartcolorstyle+xml"/>
  <Override PartName="/word/charts/chart2.xml" ContentType="application/vnd.openxmlformats-officedocument.drawingml.chart+xml"/>
  <Override PartName="/word/charts/style5.xml" ContentType="application/vnd.ms-office.chartstyle+xml"/>
  <Override PartName="/word/charts/colors1.xml" ContentType="application/vnd.ms-office.chartcolorstyle+xml"/>
  <Override PartName="/word/charts/style4.xml" ContentType="application/vnd.ms-office.chartstyle+xml"/>
  <Override PartName="/word/charts/colors2.xml" ContentType="application/vnd.ms-office.chartcolorstyle+xml"/>
  <Override PartName="/word/charts/colors4.xml" ContentType="application/vnd.ms-office.chartcolorstyle+xml"/>
  <Override PartName="/word/charts/style1.xml" ContentType="application/vnd.ms-office.chartsty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.xml" ContentType="application/vnd.openxmlformats-officedocument.drawingml.chart+xml"/>
  <Override PartName="/word/charts/chart3.xml" ContentType="application/vnd.openxmlformats-officedocument.drawingml.chart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Анализ обращений граждан 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pBdr/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 Совету Камско-Устьинского муниципального района 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pBdr/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202</w:t>
      </w:r>
      <w:r>
        <w:rPr>
          <w:rFonts w:ascii="Times New Roman" w:hAnsi="Times New Roman" w:cs="Times New Roman"/>
          <w:b/>
          <w:sz w:val="32"/>
          <w:szCs w:val="32"/>
        </w:rPr>
        <w:t xml:space="preserve">4</w:t>
      </w:r>
      <w:r>
        <w:rPr>
          <w:rFonts w:ascii="Times New Roman" w:hAnsi="Times New Roman" w:cs="Times New Roman"/>
          <w:b/>
          <w:sz w:val="32"/>
          <w:szCs w:val="32"/>
        </w:rPr>
        <w:t xml:space="preserve"> год.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pBdr/>
        <w:spacing/>
        <w:ind/>
        <w:jc w:val="center"/>
        <w:rPr/>
      </w:pPr>
      <w:r/>
      <w:r/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году в аппарат Совета Камско-Устьинского муниципального района поступило </w:t>
      </w: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53</w:t>
      </w:r>
      <w:r>
        <w:rPr>
          <w:rFonts w:ascii="Times New Roman" w:hAnsi="Times New Roman" w:cs="Times New Roman"/>
          <w:sz w:val="28"/>
          <w:szCs w:val="28"/>
        </w:rPr>
        <w:t xml:space="preserve"> устных и письменных обращений, что на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 xml:space="preserve">меньше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уровня предыдущего года (202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г. - </w:t>
      </w:r>
      <w:r>
        <w:rPr>
          <w:rFonts w:ascii="Times New Roman" w:hAnsi="Times New Roman" w:cs="Times New Roman"/>
          <w:sz w:val="28"/>
          <w:szCs w:val="28"/>
        </w:rPr>
        <w:t xml:space="preserve">272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drawing>
          <wp:inline distT="0" distB="0" distL="0" distR="0">
            <wp:extent cx="5057775" cy="2647950"/>
            <wp:effectExtent l="0" t="0" r="9525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Совете Камско-Устьинского муниципального района были приняты на личном приеме </w:t>
      </w:r>
      <w:r>
        <w:rPr>
          <w:rFonts w:ascii="Times New Roman" w:hAnsi="Times New Roman" w:cs="Times New Roman"/>
          <w:sz w:val="28"/>
          <w:szCs w:val="28"/>
        </w:rPr>
        <w:t xml:space="preserve">82 </w:t>
      </w:r>
      <w:r>
        <w:rPr>
          <w:rFonts w:ascii="Times New Roman" w:hAnsi="Times New Roman" w:cs="Times New Roman"/>
          <w:sz w:val="28"/>
          <w:szCs w:val="28"/>
        </w:rPr>
        <w:t xml:space="preserve">граждан</w:t>
      </w:r>
      <w:r>
        <w:rPr>
          <w:rFonts w:ascii="Times New Roman" w:hAnsi="Times New Roman" w:cs="Times New Roman"/>
          <w:sz w:val="28"/>
          <w:szCs w:val="28"/>
        </w:rPr>
        <w:t xml:space="preserve">ина</w:t>
      </w:r>
      <w:r>
        <w:rPr>
          <w:rFonts w:ascii="Times New Roman" w:hAnsi="Times New Roman" w:cs="Times New Roman"/>
          <w:sz w:val="28"/>
          <w:szCs w:val="28"/>
        </w:rPr>
        <w:t xml:space="preserve">, что на </w:t>
      </w:r>
      <w:r>
        <w:rPr>
          <w:rFonts w:ascii="Times New Roman" w:hAnsi="Times New Roman" w:cs="Times New Roman"/>
          <w:sz w:val="28"/>
          <w:szCs w:val="28"/>
        </w:rPr>
        <w:t xml:space="preserve">33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 xml:space="preserve">меньше</w:t>
      </w:r>
      <w:r>
        <w:rPr>
          <w:rFonts w:ascii="Times New Roman" w:hAnsi="Times New Roman" w:cs="Times New Roman"/>
          <w:sz w:val="28"/>
          <w:szCs w:val="28"/>
        </w:rPr>
        <w:t xml:space="preserve"> уровня 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года. (202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г. -1</w:t>
      </w:r>
      <w:r>
        <w:rPr>
          <w:rFonts w:ascii="Times New Roman" w:hAnsi="Times New Roman" w:cs="Times New Roman"/>
          <w:sz w:val="28"/>
          <w:szCs w:val="28"/>
        </w:rPr>
        <w:t xml:space="preserve">31</w:t>
      </w:r>
      <w:r>
        <w:rPr>
          <w:rFonts w:ascii="Times New Roman" w:hAnsi="Times New Roman" w:cs="Times New Roman"/>
          <w:sz w:val="28"/>
          <w:szCs w:val="28"/>
        </w:rPr>
        <w:t xml:space="preserve">). Все граждане </w:t>
      </w:r>
      <w:r>
        <w:rPr>
          <w:rFonts w:ascii="Times New Roman" w:hAnsi="Times New Roman" w:cs="Times New Roman"/>
          <w:sz w:val="28"/>
          <w:szCs w:val="28"/>
        </w:rPr>
        <w:t xml:space="preserve">приняты Главой муниципального района. Определены и строго соблюдаются еди</w:t>
      </w:r>
      <w:r>
        <w:rPr>
          <w:rFonts w:ascii="Times New Roman" w:hAnsi="Times New Roman" w:cs="Times New Roman"/>
          <w:sz w:val="28"/>
          <w:szCs w:val="28"/>
        </w:rPr>
        <w:t xml:space="preserve">ный день и часы приема граждан Г</w:t>
      </w:r>
      <w:r>
        <w:rPr>
          <w:rFonts w:ascii="Times New Roman" w:hAnsi="Times New Roman" w:cs="Times New Roman"/>
          <w:sz w:val="28"/>
          <w:szCs w:val="28"/>
        </w:rPr>
        <w:t xml:space="preserve">лавой муниципального района, его заместителем - каждый вторник с 14</w:t>
      </w:r>
      <w:r>
        <w:rPr>
          <w:rFonts w:ascii="Times New Roman" w:hAnsi="Times New Roman" w:cs="Times New Roman"/>
          <w:sz w:val="28"/>
          <w:szCs w:val="28"/>
        </w:rPr>
        <w:t xml:space="preserve">-00.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месте приема, а также об установленных для приема днях и часах ра</w:t>
      </w:r>
      <w:r>
        <w:rPr>
          <w:rFonts w:ascii="Times New Roman" w:hAnsi="Times New Roman" w:cs="Times New Roman"/>
          <w:sz w:val="28"/>
          <w:szCs w:val="28"/>
        </w:rPr>
        <w:t xml:space="preserve">змещена на сайте района, во вкладке «Обращения граждан».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drawing>
          <wp:inline distT="0" distB="0" distL="0" distR="0">
            <wp:extent cx="5210175" cy="2609850"/>
            <wp:effectExtent l="0" t="0" r="9525" b="0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поступивших в Совет муниципального района из Администрации Президента Российской Федерации, из Администрации Раиса Республики Татарстан, из Аппарата Кабинета Министров Республики Татарс</w:t>
      </w:r>
      <w:r>
        <w:rPr>
          <w:rFonts w:ascii="Times New Roman" w:hAnsi="Times New Roman" w:cs="Times New Roman"/>
          <w:sz w:val="28"/>
          <w:szCs w:val="28"/>
        </w:rPr>
        <w:t xml:space="preserve">тан и из других республиканских министерств и ведомств поручений по обращениям граждан в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году уменшилось и </w:t>
      </w:r>
      <w:r>
        <w:rPr>
          <w:rFonts w:ascii="Times New Roman" w:hAnsi="Times New Roman" w:cs="Times New Roman"/>
          <w:sz w:val="28"/>
          <w:szCs w:val="28"/>
        </w:rPr>
        <w:t xml:space="preserve">составило </w:t>
      </w:r>
      <w:r>
        <w:rPr>
          <w:rFonts w:ascii="Times New Roman" w:hAnsi="Times New Roman" w:cs="Times New Roman"/>
          <w:sz w:val="28"/>
          <w:szCs w:val="28"/>
        </w:rPr>
        <w:t xml:space="preserve">49 единиц (202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г.- 5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Bdr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Bdr/>
        <w:spacing w:after="0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drawing>
          <wp:inline distT="0" distB="0" distL="0" distR="0">
            <wp:extent cx="5486399" cy="3419474"/>
            <wp:effectExtent l="4762" t="4762" r="4762" b="4762"/>
            <wp:docPr id="3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электронном виде, в том числе через Интернет-приемную, портал </w:t>
      </w:r>
      <w:r>
        <w:rPr>
          <w:rFonts w:ascii="Times New Roman" w:hAnsi="Times New Roman" w:cs="Times New Roman"/>
          <w:sz w:val="28"/>
          <w:szCs w:val="28"/>
        </w:rPr>
        <w:t xml:space="preserve">ЕСИА и на электронную почту в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году поступило </w:t>
      </w:r>
      <w:r>
        <w:rPr>
          <w:rFonts w:ascii="Times New Roman" w:hAnsi="Times New Roman" w:cs="Times New Roman"/>
          <w:sz w:val="28"/>
          <w:szCs w:val="28"/>
        </w:rPr>
        <w:t xml:space="preserve">76</w:t>
      </w:r>
      <w:r>
        <w:rPr>
          <w:rFonts w:ascii="Times New Roman" w:hAnsi="Times New Roman" w:cs="Times New Roman"/>
          <w:sz w:val="28"/>
          <w:szCs w:val="28"/>
        </w:rPr>
        <w:t xml:space="preserve"> обращений, по сравнению с аналогичным периодом 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 xml:space="preserve">обращени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увеличилось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12</w:t>
      </w:r>
      <w:r>
        <w:rPr>
          <w:rFonts w:ascii="Times New Roman" w:hAnsi="Times New Roman" w:cs="Times New Roman"/>
          <w:sz w:val="28"/>
          <w:szCs w:val="28"/>
        </w:rPr>
        <w:t xml:space="preserve"> (в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году - </w:t>
      </w:r>
      <w:r>
        <w:rPr>
          <w:rFonts w:ascii="Times New Roman" w:hAnsi="Times New Roman" w:cs="Times New Roman"/>
          <w:sz w:val="28"/>
          <w:szCs w:val="28"/>
        </w:rPr>
        <w:t xml:space="preserve">64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).  На бумажном носителе получено </w:t>
      </w:r>
      <w:r>
        <w:rPr>
          <w:rFonts w:ascii="Times New Roman" w:hAnsi="Times New Roman" w:cs="Times New Roman"/>
          <w:sz w:val="28"/>
          <w:szCs w:val="28"/>
        </w:rPr>
        <w:t xml:space="preserve">46</w:t>
      </w:r>
      <w:r>
        <w:rPr>
          <w:rFonts w:ascii="Times New Roman" w:hAnsi="Times New Roman" w:cs="Times New Roman"/>
          <w:sz w:val="28"/>
          <w:szCs w:val="28"/>
        </w:rPr>
        <w:t xml:space="preserve"> пис</w:t>
      </w:r>
      <w:r>
        <w:rPr>
          <w:rFonts w:ascii="Times New Roman" w:hAnsi="Times New Roman" w:cs="Times New Roman"/>
          <w:sz w:val="28"/>
          <w:szCs w:val="28"/>
        </w:rPr>
        <w:t xml:space="preserve">ем</w:t>
      </w:r>
      <w:r>
        <w:rPr>
          <w:rFonts w:ascii="Times New Roman" w:hAnsi="Times New Roman" w:cs="Times New Roman"/>
          <w:sz w:val="28"/>
          <w:szCs w:val="28"/>
        </w:rPr>
        <w:t xml:space="preserve"> (202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г.- </w:t>
      </w:r>
      <w:r>
        <w:rPr>
          <w:rFonts w:ascii="Times New Roman" w:hAnsi="Times New Roman" w:cs="Times New Roman"/>
          <w:sz w:val="28"/>
          <w:szCs w:val="28"/>
        </w:rPr>
        <w:t xml:space="preserve">42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drawing>
          <wp:inline distT="0" distB="0" distL="0" distR="0">
            <wp:extent cx="4514850" cy="2676525"/>
            <wp:effectExtent l="0" t="0" r="0" b="9525"/>
            <wp:docPr id="4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Bdr/>
        <w:shd w:val="clear" w:color="ffffff" w:themeColor="background1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коллективных обращений, поступивших в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году, содержат </w:t>
      </w:r>
      <w:r>
        <w:rPr>
          <w:rFonts w:ascii="Times New Roman" w:hAnsi="Times New Roman" w:cs="Times New Roman"/>
          <w:sz w:val="28"/>
          <w:szCs w:val="28"/>
        </w:rPr>
        <w:t xml:space="preserve">117</w:t>
      </w:r>
      <w:r>
        <w:rPr>
          <w:rFonts w:ascii="Times New Roman" w:hAnsi="Times New Roman" w:cs="Times New Roman"/>
          <w:sz w:val="28"/>
          <w:szCs w:val="28"/>
        </w:rPr>
        <w:t xml:space="preserve"> подписей (202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г. – </w:t>
      </w:r>
      <w:r>
        <w:rPr>
          <w:rFonts w:ascii="Times New Roman" w:hAnsi="Times New Roman" w:cs="Times New Roman"/>
          <w:sz w:val="28"/>
          <w:szCs w:val="28"/>
        </w:rPr>
        <w:t xml:space="preserve">13/468)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Количество обращений граждан, п</w:t>
      </w:r>
      <w:r>
        <w:rPr>
          <w:rFonts w:ascii="Times New Roman" w:hAnsi="Times New Roman" w:cs="Times New Roman"/>
          <w:sz w:val="28"/>
          <w:szCs w:val="28"/>
        </w:rPr>
        <w:t xml:space="preserve">оступивших на татарском языке составило 4 (202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г. -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Наибольшее количество</w:t>
      </w:r>
      <w:r>
        <w:rPr>
          <w:rFonts w:ascii="Times New Roman" w:hAnsi="Times New Roman" w:cs="Times New Roman"/>
          <w:sz w:val="28"/>
          <w:szCs w:val="28"/>
        </w:rPr>
        <w:t xml:space="preserve"> обращений поступило от жителей поселка городского типа Куйбышевский Затон – 30, </w:t>
      </w:r>
      <w:r>
        <w:rPr>
          <w:rFonts w:ascii="Times New Roman" w:hAnsi="Times New Roman" w:cs="Times New Roman"/>
          <w:sz w:val="28"/>
          <w:szCs w:val="28"/>
        </w:rPr>
        <w:t xml:space="preserve">поселка городского типа Камское Устье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24</w:t>
      </w:r>
      <w:r>
        <w:rPr>
          <w:rFonts w:ascii="Times New Roman" w:hAnsi="Times New Roman" w:cs="Times New Roman"/>
          <w:sz w:val="28"/>
          <w:szCs w:val="28"/>
        </w:rPr>
        <w:t xml:space="preserve">, из </w:t>
      </w:r>
      <w:r>
        <w:rPr>
          <w:rFonts w:ascii="Times New Roman" w:hAnsi="Times New Roman" w:cs="Times New Roman"/>
          <w:sz w:val="28"/>
          <w:szCs w:val="28"/>
        </w:rPr>
        <w:t xml:space="preserve">села Красновидово – 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54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894"/>
        <w:gridCol w:w="7283"/>
        <w:gridCol w:w="1330"/>
        <w:gridCol w:w="73"/>
      </w:tblGrid>
      <w:tr>
        <w:trPr/>
        <w:tc>
          <w:tcPr>
            <w:shd w:val="clear" w:color="f2f2a2" w:fill="f2f2a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№ 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a2" w:fill="f2f2a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Наименование городского и сельских поселений в разрезе населенных пунктов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a2" w:fill="f2f2a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Поступило письменных обращений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a2" w:fill="f2f2a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2f2a2" w:fill="f2f2a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a2" w:fill="f2f2a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д. Караталга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a2" w:fill="f2f2a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a2" w:fill="f2f2a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2.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д. Картапа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2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3.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д. Лабышка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5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4.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д. Малое Мереткозино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5.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д. Малые Кармалы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6.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д. Мордовский Каратай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7.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д. Челны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8.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д. Шапкино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9.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п.г.т. Камское Устье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24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10.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п.г.т. Куйбышевский Затон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30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11.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с. Антоновка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5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0"/>
        </w:trPr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12.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с. Балтачево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13.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с. Большая Янгасала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14.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с. Большие Салтыки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4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15.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с. Большое Мереткозино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2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16.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с. Варварино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17.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с. Кирельское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5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18.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с. Красновидово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9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19.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с. Старое Барышево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5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20.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с. Старое Казеево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1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21.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с. Сюкеево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5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dfdfdf" w:fill="dfdfd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gridAfter w:val="1"/>
        </w:trPr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8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22.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28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с. Теньки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  <w:tc>
          <w:tcPr>
            <w:shd w:val="clear" w:color="f2f2f2" w:fill="f2f2f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71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pPr>
            <w:r>
              <w:rPr>
                <w:rFonts w:ascii="Tahoma" w:hAnsi="Tahoma" w:eastAsia="Tahoma" w:cs="Tahoma"/>
                <w:color w:val="333333"/>
                <w:sz w:val="20"/>
                <w:szCs w:val="20"/>
              </w:rPr>
              <w:t xml:space="preserve">2</w:t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  <w:r>
              <w:rPr>
                <w:rFonts w:ascii="Tahoma" w:hAnsi="Tahoma" w:eastAsia="Tahoma" w:cs="Tahoma"/>
                <w:color w:val="333333"/>
                <w:sz w:val="20"/>
                <w:szCs w:val="20"/>
                <w14:ligatures w14:val="none"/>
              </w:rPr>
            </w:r>
          </w:p>
        </w:tc>
      </w:tr>
    </w:tbl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активной социальной группой, направляющей свои предложения, жалобы, заявления в Совет муниципального района, являются пенсионеры 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. Остальные обратившиеся принадлежат к следующим категориям: руководители – 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депутаты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домохозяйки – 2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предприниматели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; работники бюджетной сферы – 1 человек, военнослужащий – 1 человек.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494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814"/>
        <w:gridCol w:w="3839"/>
      </w:tblGrid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Социальная группа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Количество обращений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Адвокат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Беженец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Безработный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БОМЖ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Военнослужащий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Временно не работает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Вынужденный переселенец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Домохозяйка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установлено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Обеспечиваемые домами-интернатами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Осужденный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Пенсионер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Пенсионер УВД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Подследственный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Работающий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Работники бюджетной сферы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Рабочий с/х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Религиозный сан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Семья сотрудника УВД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Служащий, ИТР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УВД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Спортсмен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Студент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Творческая, научная интеллигенция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Учащийся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0" w:type="auto"/>
            <w:textDirection w:val="lrTb"/>
            <w:noWrap w:val="false"/>
          </w:tcPr>
          <w:p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 w:after="0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обращений блока «</w:t>
      </w:r>
      <w:r>
        <w:rPr>
          <w:rFonts w:ascii="Times New Roman" w:hAnsi="Times New Roman" w:cs="Times New Roman"/>
          <w:b/>
          <w:sz w:val="28"/>
          <w:szCs w:val="28"/>
        </w:rPr>
        <w:t xml:space="preserve">Государство, общество, политика</w:t>
      </w:r>
      <w:r>
        <w:rPr>
          <w:rFonts w:ascii="Times New Roman" w:hAnsi="Times New Roman" w:cs="Times New Roman"/>
          <w:sz w:val="28"/>
          <w:szCs w:val="28"/>
        </w:rPr>
        <w:t xml:space="preserve">» уменьшилось на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Всего рассмотрено 5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(202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г. - </w:t>
      </w:r>
      <w:r>
        <w:rPr>
          <w:rFonts w:ascii="Times New Roman" w:hAnsi="Times New Roman" w:cs="Times New Roman"/>
          <w:sz w:val="28"/>
          <w:szCs w:val="28"/>
        </w:rPr>
        <w:t xml:space="preserve">55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блок содержит вопросы</w:t>
      </w:r>
      <w:r>
        <w:rPr>
          <w:rFonts w:ascii="Times New Roman" w:hAnsi="Times New Roman" w:cs="Times New Roman"/>
          <w:sz w:val="28"/>
          <w:szCs w:val="28"/>
        </w:rPr>
        <w:t xml:space="preserve"> о деятельности общественных и религиозных объединений (7), местного самоуправления (4), увековечении памяти выдающихся людей, исторических событий (2), государственных языках (1), о работе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 (29</w:t>
      </w:r>
      <w:r>
        <w:rPr>
          <w:rFonts w:ascii="Times New Roman" w:hAnsi="Times New Roman" w:cs="Times New Roman"/>
          <w:sz w:val="28"/>
          <w:szCs w:val="28"/>
        </w:rPr>
        <w:t xml:space="preserve">), о рассмотрении обращений (4).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ш</w:t>
      </w:r>
      <w:r>
        <w:rPr>
          <w:rFonts w:ascii="Times New Roman" w:hAnsi="Times New Roman" w:cs="Times New Roman"/>
          <w:sz w:val="28"/>
          <w:szCs w:val="28"/>
        </w:rPr>
        <w:t xml:space="preserve">ение количества вопросов о проблемах </w:t>
      </w:r>
      <w:r>
        <w:rPr>
          <w:rFonts w:ascii="Times New Roman" w:hAnsi="Times New Roman" w:cs="Times New Roman"/>
          <w:b/>
          <w:sz w:val="28"/>
          <w:szCs w:val="28"/>
        </w:rPr>
        <w:t xml:space="preserve">жилищно-коммунального хозяйства,</w:t>
      </w:r>
      <w:r>
        <w:rPr>
          <w:rFonts w:ascii="Times New Roman" w:hAnsi="Times New Roman" w:cs="Times New Roman"/>
          <w:sz w:val="28"/>
          <w:szCs w:val="28"/>
        </w:rPr>
        <w:t xml:space="preserve"> данный блок остается актуальным среди заявителей. В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году поступило </w:t>
      </w:r>
      <w:r>
        <w:rPr>
          <w:rFonts w:ascii="Times New Roman" w:hAnsi="Times New Roman" w:cs="Times New Roman"/>
          <w:sz w:val="28"/>
          <w:szCs w:val="28"/>
        </w:rPr>
        <w:t xml:space="preserve">59</w:t>
      </w:r>
      <w:r>
        <w:rPr>
          <w:rFonts w:ascii="Times New Roman" w:hAnsi="Times New Roman" w:cs="Times New Roman"/>
          <w:sz w:val="28"/>
          <w:szCs w:val="28"/>
        </w:rPr>
        <w:t xml:space="preserve"> обращений на указанную тематику (202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г. -</w:t>
      </w:r>
      <w:r>
        <w:rPr>
          <w:rFonts w:ascii="Times New Roman" w:hAnsi="Times New Roman" w:cs="Times New Roman"/>
          <w:sz w:val="28"/>
          <w:szCs w:val="28"/>
        </w:rPr>
        <w:t xml:space="preserve"> 65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  <w:t xml:space="preserve"> Значительную часть данного блока составляют вопросы обеспечения граждан жилищем, социальных гарантий в жилищной сфере, предоставления коммунальных услуг ненадлежащего качества: теплоснабжения, электроснабжения, водоснабжения.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величилось на 6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б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щени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15</w:t>
      </w:r>
      <w:r>
        <w:rPr>
          <w:rFonts w:ascii="Times New Roman" w:hAnsi="Times New Roman" w:cs="Times New Roman"/>
          <w:sz w:val="28"/>
          <w:szCs w:val="28"/>
        </w:rPr>
        <w:t xml:space="preserve"> (202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) по вопросам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обороны</w:t>
      </w:r>
      <w:r>
        <w:rPr>
          <w:rFonts w:ascii="Times New Roman" w:hAnsi="Times New Roman" w:cs="Times New Roman"/>
          <w:sz w:val="28"/>
          <w:szCs w:val="28"/>
        </w:rPr>
        <w:t xml:space="preserve">, обеспечения безопасности и</w:t>
      </w:r>
      <w:r>
        <w:rPr>
          <w:rFonts w:ascii="Times New Roman" w:hAnsi="Times New Roman" w:cs="Times New Roman"/>
          <w:sz w:val="28"/>
          <w:szCs w:val="28"/>
        </w:rPr>
        <w:t xml:space="preserve"> законности. Поднимаются вопросы по гуманитарной помощи, выплатах военнослужащим, поддержке семей военнослужащих. Также в данном блоке рассмотрены проблемы безопасности и правопорядка.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социальной сферы</w:t>
      </w:r>
      <w:r>
        <w:rPr>
          <w:rFonts w:ascii="Times New Roman" w:hAnsi="Times New Roman" w:cs="Times New Roman"/>
          <w:sz w:val="28"/>
          <w:szCs w:val="28"/>
        </w:rPr>
        <w:t xml:space="preserve"> выражены в </w:t>
      </w:r>
      <w:r>
        <w:rPr>
          <w:rFonts w:ascii="Times New Roman" w:hAnsi="Times New Roman" w:cs="Times New Roman"/>
          <w:sz w:val="28"/>
          <w:szCs w:val="28"/>
        </w:rPr>
        <w:t xml:space="preserve">47</w:t>
      </w:r>
      <w:r>
        <w:rPr>
          <w:rFonts w:ascii="Times New Roman" w:hAnsi="Times New Roman" w:cs="Times New Roman"/>
          <w:sz w:val="28"/>
          <w:szCs w:val="28"/>
        </w:rPr>
        <w:t xml:space="preserve"> обращениях (202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bookmarkStart w:id="0" w:name="_GoBack"/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г. - </w:t>
      </w:r>
      <w:r>
        <w:rPr>
          <w:rFonts w:ascii="Times New Roman" w:hAnsi="Times New Roman" w:cs="Times New Roman"/>
          <w:sz w:val="28"/>
          <w:szCs w:val="28"/>
        </w:rPr>
        <w:t xml:space="preserve">46</w:t>
      </w:r>
      <w:r>
        <w:rPr>
          <w:rFonts w:ascii="Times New Roman" w:hAnsi="Times New Roman" w:cs="Times New Roman"/>
          <w:sz w:val="28"/>
          <w:szCs w:val="28"/>
        </w:rPr>
        <w:t xml:space="preserve">). Преоб</w:t>
      </w:r>
      <w:r>
        <w:rPr>
          <w:rFonts w:ascii="Times New Roman" w:hAnsi="Times New Roman" w:cs="Times New Roman"/>
          <w:sz w:val="28"/>
          <w:szCs w:val="28"/>
        </w:rPr>
        <w:t xml:space="preserve">ладающими в данном блоке являются вопросы о</w:t>
      </w:r>
      <w:r>
        <w:rPr>
          <w:rFonts w:ascii="Times New Roman" w:hAnsi="Times New Roman" w:cs="Times New Roman"/>
          <w:sz w:val="28"/>
          <w:szCs w:val="28"/>
        </w:rPr>
        <w:t xml:space="preserve">бразования, науки и культуры – 27</w:t>
      </w:r>
      <w:r>
        <w:rPr>
          <w:rFonts w:ascii="Times New Roman" w:hAnsi="Times New Roman" w:cs="Times New Roman"/>
          <w:sz w:val="28"/>
          <w:szCs w:val="28"/>
        </w:rPr>
        <w:t xml:space="preserve">. Рассмотрены вопросы доставки обучающихся в образовательные учреждения, контроля качества в сфере образования, питания обучающихся, образовательных стандартов и требований к образовательному процессу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вопросам труда и занятости населения поступило 5 обращений, обращения по темам социального обеспечения и социального страхования составило 4, это по выплатам пособий материальной помощи. Тематический блок «Здравоохранение. Физическ</w:t>
      </w:r>
      <w:r>
        <w:rPr>
          <w:rFonts w:ascii="Times New Roman" w:hAnsi="Times New Roman" w:cs="Times New Roman"/>
          <w:sz w:val="28"/>
          <w:szCs w:val="28"/>
        </w:rPr>
        <w:t xml:space="preserve">ая культура и спорт. Туризм» содержит 10 обращений. Большинство обращений касаются оказания медицинской помощи, обеспечения лекарственными средствами.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Экономические вопросы</w:t>
      </w:r>
      <w:r>
        <w:rPr>
          <w:rFonts w:ascii="Times New Roman" w:hAnsi="Times New Roman" w:cs="Times New Roman"/>
          <w:sz w:val="28"/>
          <w:szCs w:val="28"/>
        </w:rPr>
        <w:t xml:space="preserve"> содержаться в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5 обращениях (202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г. - </w:t>
      </w:r>
      <w:r>
        <w:rPr>
          <w:rFonts w:ascii="Times New Roman" w:hAnsi="Times New Roman" w:cs="Times New Roman"/>
          <w:sz w:val="28"/>
          <w:szCs w:val="28"/>
        </w:rPr>
        <w:t xml:space="preserve">125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Прео</w:t>
      </w:r>
      <w:r>
        <w:rPr>
          <w:rFonts w:ascii="Times New Roman" w:hAnsi="Times New Roman" w:cs="Times New Roman"/>
          <w:sz w:val="28"/>
          <w:szCs w:val="28"/>
        </w:rPr>
        <w:t xml:space="preserve">бладающее количество обращений данного блока посвящены хозяйственной деятельности (55). Рассмотрены заявления по вопросам качества транспортного обслуживания, пассажирских перевозок, качества связи, строительства спортивных объектов. Проблемы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природных ресурсов и охраны окружающей среды содержатся в 30 обращениях.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486399" cy="3200399"/>
            <wp:effectExtent l="4762" t="4762" r="4762" b="4762"/>
            <wp:docPr id="5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году решено положительно </w:t>
      </w:r>
      <w:r>
        <w:rPr>
          <w:rFonts w:ascii="Times New Roman" w:hAnsi="Times New Roman" w:cs="Times New Roman"/>
          <w:sz w:val="28"/>
          <w:szCs w:val="28"/>
        </w:rPr>
        <w:t xml:space="preserve">23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, что на </w:t>
      </w:r>
      <w:r>
        <w:rPr>
          <w:rFonts w:ascii="Times New Roman" w:hAnsi="Times New Roman" w:cs="Times New Roman"/>
          <w:sz w:val="28"/>
          <w:szCs w:val="28"/>
        </w:rPr>
        <w:t xml:space="preserve">43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меньше</w:t>
      </w:r>
      <w:r>
        <w:rPr>
          <w:rFonts w:ascii="Times New Roman" w:hAnsi="Times New Roman" w:cs="Times New Roman"/>
          <w:sz w:val="28"/>
          <w:szCs w:val="28"/>
        </w:rPr>
        <w:t xml:space="preserve"> по сравнению с аналогичным периодом 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года (</w:t>
      </w:r>
      <w:r>
        <w:rPr>
          <w:rFonts w:ascii="Times New Roman" w:hAnsi="Times New Roman" w:cs="Times New Roman"/>
          <w:sz w:val="28"/>
          <w:szCs w:val="28"/>
        </w:rPr>
        <w:t xml:space="preserve">66 </w:t>
      </w:r>
      <w:r>
        <w:rPr>
          <w:rFonts w:ascii="Times New Roman" w:hAnsi="Times New Roman" w:cs="Times New Roman"/>
          <w:sz w:val="28"/>
          <w:szCs w:val="28"/>
        </w:rPr>
        <w:t xml:space="preserve">обращений)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обеспечения открытости и доступности органов власти для населения на официальном сайте района работает Интернет-приемная, где </w:t>
      </w:r>
      <w:r>
        <w:rPr>
          <w:rFonts w:ascii="Times New Roman" w:hAnsi="Times New Roman" w:cs="Times New Roman"/>
          <w:sz w:val="28"/>
          <w:szCs w:val="28"/>
        </w:rPr>
        <w:t xml:space="preserve">каждый желающий может обратиться с предложением, заявлением или жалобой.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усиления контроля качества и сроков рассмотрения обращений граждан, обеспечения прозрачности процесса работы исполнителей по ним, осуществление комплексного анализа обращен</w:t>
      </w:r>
      <w:r>
        <w:rPr>
          <w:rFonts w:ascii="Times New Roman" w:hAnsi="Times New Roman" w:cs="Times New Roman"/>
          <w:sz w:val="28"/>
          <w:szCs w:val="28"/>
        </w:rPr>
        <w:t xml:space="preserve">ий по хронологическим интервалам, тематическим, социальным и территориальным аспектам продолжается технологизация новых путей функционирования обратной связи.  Во исполнении Указа Президента Российской Федерации В.В. Путина «О мониторинге и анализе результ</w:t>
      </w:r>
      <w:r>
        <w:rPr>
          <w:rFonts w:ascii="Times New Roman" w:hAnsi="Times New Roman" w:cs="Times New Roman"/>
          <w:sz w:val="28"/>
          <w:szCs w:val="28"/>
        </w:rPr>
        <w:t xml:space="preserve">атов рассмотрения обращений граждан и организаций» с июня 2017 года осуществляется работа в системе общефедерального мониторинга рассмотрения обращений граждан на закрытом информационном ресурсе ССТУ.РФ. Таким образом, процесс и результаты рассмотрения обр</w:t>
      </w:r>
      <w:r>
        <w:rPr>
          <w:rFonts w:ascii="Times New Roman" w:hAnsi="Times New Roman" w:cs="Times New Roman"/>
          <w:sz w:val="28"/>
          <w:szCs w:val="28"/>
        </w:rPr>
        <w:t xml:space="preserve">ащений граждан руководством района через передачу с системы электронного документооборота отражаются во всероссийском информационном ресурсе.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главных задач при организации работы с обращениями граждан является принятие мер по недопущению фактов на</w:t>
      </w:r>
      <w:r>
        <w:rPr>
          <w:rFonts w:ascii="Times New Roman" w:hAnsi="Times New Roman" w:cs="Times New Roman"/>
          <w:sz w:val="28"/>
          <w:szCs w:val="28"/>
        </w:rPr>
        <w:t xml:space="preserve">рушения сроков рассмотрения обращений, усиление требовательности к исполнителям и ответственность всех должностных лиц за соблюдением порядка рассмотрения обращений и подготовки ответов.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применяют различные формы и методы раб</w:t>
      </w:r>
      <w:r>
        <w:rPr>
          <w:rFonts w:ascii="Times New Roman" w:hAnsi="Times New Roman" w:cs="Times New Roman"/>
          <w:sz w:val="28"/>
          <w:szCs w:val="28"/>
        </w:rPr>
        <w:t xml:space="preserve">оты с населением. Одной из эффективных форм работы является организация и проведение собраний граждан в сельских поселениях, которые дают возможность сельским гражданам реализовать свои права по обращению к органам местного самоуправления, как в устной, та</w:t>
      </w:r>
      <w:r>
        <w:rPr>
          <w:rFonts w:ascii="Times New Roman" w:hAnsi="Times New Roman" w:cs="Times New Roman"/>
          <w:sz w:val="28"/>
          <w:szCs w:val="28"/>
        </w:rPr>
        <w:t xml:space="preserve">к и в письменной форме. Собрания граждан проводятся согласно утвержденному графику с участием Главы района, руководителя Исполнительного комитета муниципального района, руководителей отделов и служб жизнеобеспечения, депутатов представительных органов, пре</w:t>
      </w:r>
      <w:r>
        <w:rPr>
          <w:rFonts w:ascii="Times New Roman" w:hAnsi="Times New Roman" w:cs="Times New Roman"/>
          <w:sz w:val="28"/>
          <w:szCs w:val="28"/>
        </w:rPr>
        <w:t xml:space="preserve">дставителей правоохранительных органов и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организаций. В 2024</w:t>
      </w:r>
      <w:r>
        <w:rPr>
          <w:rFonts w:ascii="Times New Roman" w:hAnsi="Times New Roman" w:cs="Times New Roman"/>
          <w:sz w:val="28"/>
          <w:szCs w:val="28"/>
        </w:rPr>
        <w:t xml:space="preserve"> году проведено</w:t>
      </w:r>
      <w:r>
        <w:rPr>
          <w:rFonts w:ascii="Times New Roman" w:hAnsi="Times New Roman" w:cs="Times New Roman"/>
          <w:sz w:val="28"/>
          <w:szCs w:val="28"/>
        </w:rPr>
        <w:t xml:space="preserve"> 45 сходов граждан.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обращения граждан, поступающие в Совет Камско-Устьинского муниципального района Республики Татарстан, рассматриваются в соответствии с Федерал</w:t>
      </w:r>
      <w:r>
        <w:rPr>
          <w:rFonts w:ascii="Times New Roman" w:hAnsi="Times New Roman" w:cs="Times New Roman"/>
          <w:sz w:val="28"/>
          <w:szCs w:val="28"/>
        </w:rPr>
        <w:t xml:space="preserve">ьным законом от 2 мая 2006 года №59-ФЗ «О порядке рассмотрения обращений граждан Российской Федерации» и Законом Республики Татарстан от 12 мая 2003 года №16-ЗРТ «Об обращениях граждан в Республике Татарстан».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обращений граждан размещается на официа</w:t>
      </w:r>
      <w:r>
        <w:rPr>
          <w:rFonts w:ascii="Times New Roman" w:hAnsi="Times New Roman" w:cs="Times New Roman"/>
          <w:sz w:val="28"/>
          <w:szCs w:val="28"/>
        </w:rPr>
        <w:t xml:space="preserve">льном сайте Камско-Устьинского муниципального района.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СМР                                            Р.Н.Нуриева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850" w:bottom="1134" w:left="1276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1287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72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44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8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60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047"/>
      </w:pPr>
      <w:rPr>
        <w:rFonts w:hint="default"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Heading 1 Char"/>
    <w:basedOn w:val="683"/>
    <w:link w:val="674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57">
    <w:name w:val="Heading 2 Char"/>
    <w:basedOn w:val="683"/>
    <w:link w:val="675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58">
    <w:name w:val="Heading 3 Char"/>
    <w:basedOn w:val="683"/>
    <w:link w:val="676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59">
    <w:name w:val="Heading 4 Char"/>
    <w:basedOn w:val="683"/>
    <w:link w:val="67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5 Char"/>
    <w:basedOn w:val="683"/>
    <w:link w:val="67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61">
    <w:name w:val="Heading 6 Char"/>
    <w:basedOn w:val="683"/>
    <w:link w:val="67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62">
    <w:name w:val="Heading 7 Char"/>
    <w:basedOn w:val="683"/>
    <w:link w:val="68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8 Char"/>
    <w:basedOn w:val="683"/>
    <w:link w:val="68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64">
    <w:name w:val="Heading 9 Char"/>
    <w:basedOn w:val="683"/>
    <w:link w:val="68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65">
    <w:name w:val="Title Char"/>
    <w:basedOn w:val="683"/>
    <w:link w:val="697"/>
    <w:uiPriority w:val="10"/>
    <w:pPr>
      <w:pBdr/>
      <w:spacing/>
      <w:ind/>
    </w:pPr>
    <w:rPr>
      <w:sz w:val="48"/>
      <w:szCs w:val="48"/>
    </w:rPr>
  </w:style>
  <w:style w:type="character" w:styleId="666">
    <w:name w:val="Subtitle Char"/>
    <w:basedOn w:val="683"/>
    <w:link w:val="699"/>
    <w:uiPriority w:val="11"/>
    <w:pPr>
      <w:pBdr/>
      <w:spacing/>
      <w:ind/>
    </w:pPr>
    <w:rPr>
      <w:sz w:val="24"/>
      <w:szCs w:val="24"/>
    </w:rPr>
  </w:style>
  <w:style w:type="character" w:styleId="667">
    <w:name w:val="Quote Char"/>
    <w:link w:val="701"/>
    <w:uiPriority w:val="29"/>
    <w:pPr>
      <w:pBdr/>
      <w:spacing/>
      <w:ind/>
    </w:pPr>
    <w:rPr>
      <w:i/>
    </w:rPr>
  </w:style>
  <w:style w:type="character" w:styleId="668">
    <w:name w:val="Intense Quote Char"/>
    <w:link w:val="703"/>
    <w:uiPriority w:val="30"/>
    <w:pPr>
      <w:pBdr/>
      <w:spacing/>
      <w:ind/>
    </w:pPr>
    <w:rPr>
      <w:i/>
    </w:rPr>
  </w:style>
  <w:style w:type="character" w:styleId="669">
    <w:name w:val="Header Char"/>
    <w:basedOn w:val="683"/>
    <w:link w:val="705"/>
    <w:uiPriority w:val="99"/>
    <w:pPr>
      <w:pBdr/>
      <w:spacing/>
      <w:ind/>
    </w:pPr>
  </w:style>
  <w:style w:type="character" w:styleId="670">
    <w:name w:val="Caption Char"/>
    <w:basedOn w:val="709"/>
    <w:link w:val="707"/>
    <w:uiPriority w:val="99"/>
    <w:pPr>
      <w:pBdr/>
      <w:spacing/>
      <w:ind/>
    </w:pPr>
  </w:style>
  <w:style w:type="character" w:styleId="671">
    <w:name w:val="Footnote Text Char"/>
    <w:link w:val="836"/>
    <w:uiPriority w:val="99"/>
    <w:pPr>
      <w:pBdr/>
      <w:spacing/>
      <w:ind/>
    </w:pPr>
    <w:rPr>
      <w:sz w:val="18"/>
    </w:rPr>
  </w:style>
  <w:style w:type="character" w:styleId="672">
    <w:name w:val="Endnote Text Char"/>
    <w:link w:val="839"/>
    <w:uiPriority w:val="99"/>
    <w:pPr>
      <w:pBdr/>
      <w:spacing/>
      <w:ind/>
    </w:pPr>
    <w:rPr>
      <w:sz w:val="20"/>
    </w:rPr>
  </w:style>
  <w:style w:type="paragraph" w:styleId="673" w:default="1">
    <w:name w:val="Normal"/>
    <w:qFormat/>
    <w:pPr>
      <w:pBdr/>
      <w:spacing/>
      <w:ind/>
    </w:pPr>
  </w:style>
  <w:style w:type="paragraph" w:styleId="674">
    <w:name w:val="Heading 1"/>
    <w:basedOn w:val="673"/>
    <w:next w:val="673"/>
    <w:link w:val="686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675">
    <w:name w:val="Heading 2"/>
    <w:basedOn w:val="673"/>
    <w:next w:val="673"/>
    <w:link w:val="687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676">
    <w:name w:val="Heading 3"/>
    <w:basedOn w:val="673"/>
    <w:next w:val="673"/>
    <w:link w:val="68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677">
    <w:name w:val="Heading 4"/>
    <w:basedOn w:val="673"/>
    <w:next w:val="673"/>
    <w:link w:val="689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673"/>
    <w:next w:val="673"/>
    <w:link w:val="690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9">
    <w:name w:val="Heading 6"/>
    <w:basedOn w:val="673"/>
    <w:next w:val="673"/>
    <w:link w:val="69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</w:rPr>
  </w:style>
  <w:style w:type="paragraph" w:styleId="680">
    <w:name w:val="Heading 7"/>
    <w:basedOn w:val="673"/>
    <w:next w:val="673"/>
    <w:link w:val="692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681">
    <w:name w:val="Heading 8"/>
    <w:basedOn w:val="673"/>
    <w:next w:val="673"/>
    <w:link w:val="693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</w:rPr>
  </w:style>
  <w:style w:type="paragraph" w:styleId="682">
    <w:name w:val="Heading 9"/>
    <w:basedOn w:val="673"/>
    <w:next w:val="673"/>
    <w:link w:val="694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 w:default="1">
    <w:name w:val="Default Paragraph Font"/>
    <w:uiPriority w:val="1"/>
    <w:semiHidden/>
    <w:unhideWhenUsed/>
    <w:pPr>
      <w:pBdr/>
      <w:spacing/>
      <w:ind/>
    </w:pPr>
  </w:style>
  <w:style w:type="table" w:styleId="68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5" w:default="1">
    <w:name w:val="No List"/>
    <w:uiPriority w:val="99"/>
    <w:semiHidden/>
    <w:unhideWhenUsed/>
    <w:pPr>
      <w:pBdr/>
      <w:spacing/>
      <w:ind/>
    </w:pPr>
  </w:style>
  <w:style w:type="character" w:styleId="686" w:customStyle="1">
    <w:name w:val="Заголовок 1 Знак"/>
    <w:basedOn w:val="683"/>
    <w:link w:val="674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87" w:customStyle="1">
    <w:name w:val="Заголовок 2 Знак"/>
    <w:basedOn w:val="683"/>
    <w:link w:val="675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88" w:customStyle="1">
    <w:name w:val="Заголовок 3 Знак"/>
    <w:basedOn w:val="683"/>
    <w:link w:val="676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89" w:customStyle="1">
    <w:name w:val="Заголовок 4 Знак"/>
    <w:basedOn w:val="683"/>
    <w:link w:val="67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90" w:customStyle="1">
    <w:name w:val="Заголовок 5 Знак"/>
    <w:basedOn w:val="683"/>
    <w:link w:val="67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91" w:customStyle="1">
    <w:name w:val="Заголовок 6 Знак"/>
    <w:basedOn w:val="683"/>
    <w:link w:val="67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92" w:customStyle="1">
    <w:name w:val="Заголовок 7 Знак"/>
    <w:basedOn w:val="683"/>
    <w:link w:val="68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3" w:customStyle="1">
    <w:name w:val="Заголовок 8 Знак"/>
    <w:basedOn w:val="683"/>
    <w:link w:val="68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94" w:customStyle="1">
    <w:name w:val="Заголовок 9 Знак"/>
    <w:basedOn w:val="683"/>
    <w:link w:val="68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95">
    <w:name w:val="List Paragraph"/>
    <w:basedOn w:val="673"/>
    <w:uiPriority w:val="34"/>
    <w:qFormat/>
    <w:pPr>
      <w:pBdr/>
      <w:spacing/>
      <w:ind w:left="720"/>
      <w:contextualSpacing w:val="true"/>
    </w:pPr>
  </w:style>
  <w:style w:type="paragraph" w:styleId="696">
    <w:name w:val="No Spacing"/>
    <w:uiPriority w:val="1"/>
    <w:qFormat/>
    <w:pPr>
      <w:pBdr/>
      <w:spacing w:after="0" w:line="240" w:lineRule="auto"/>
      <w:ind/>
    </w:pPr>
  </w:style>
  <w:style w:type="paragraph" w:styleId="697">
    <w:name w:val="Title"/>
    <w:basedOn w:val="673"/>
    <w:next w:val="673"/>
    <w:link w:val="698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698" w:customStyle="1">
    <w:name w:val="Заголовок Знак"/>
    <w:basedOn w:val="683"/>
    <w:link w:val="697"/>
    <w:uiPriority w:val="10"/>
    <w:pPr>
      <w:pBdr/>
      <w:spacing/>
      <w:ind/>
    </w:pPr>
    <w:rPr>
      <w:sz w:val="48"/>
      <w:szCs w:val="48"/>
    </w:rPr>
  </w:style>
  <w:style w:type="paragraph" w:styleId="699">
    <w:name w:val="Subtitle"/>
    <w:basedOn w:val="673"/>
    <w:next w:val="673"/>
    <w:link w:val="700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00" w:customStyle="1">
    <w:name w:val="Подзаголовок Знак"/>
    <w:basedOn w:val="683"/>
    <w:link w:val="699"/>
    <w:uiPriority w:val="11"/>
    <w:pPr>
      <w:pBdr/>
      <w:spacing/>
      <w:ind/>
    </w:pPr>
    <w:rPr>
      <w:sz w:val="24"/>
      <w:szCs w:val="24"/>
    </w:rPr>
  </w:style>
  <w:style w:type="paragraph" w:styleId="701">
    <w:name w:val="Quote"/>
    <w:basedOn w:val="673"/>
    <w:next w:val="673"/>
    <w:link w:val="702"/>
    <w:uiPriority w:val="29"/>
    <w:qFormat/>
    <w:pPr>
      <w:pBdr/>
      <w:spacing/>
      <w:ind w:right="720" w:left="720"/>
    </w:pPr>
    <w:rPr>
      <w:i/>
    </w:rPr>
  </w:style>
  <w:style w:type="character" w:styleId="702" w:customStyle="1">
    <w:name w:val="Цитата 2 Знак"/>
    <w:link w:val="701"/>
    <w:uiPriority w:val="29"/>
    <w:pPr>
      <w:pBdr/>
      <w:spacing/>
      <w:ind/>
    </w:pPr>
    <w:rPr>
      <w:i/>
    </w:rPr>
  </w:style>
  <w:style w:type="paragraph" w:styleId="703">
    <w:name w:val="Intense Quote"/>
    <w:basedOn w:val="673"/>
    <w:next w:val="673"/>
    <w:link w:val="70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04" w:customStyle="1">
    <w:name w:val="Выделенная цитата Знак"/>
    <w:link w:val="703"/>
    <w:uiPriority w:val="30"/>
    <w:pPr>
      <w:pBdr/>
      <w:spacing/>
      <w:ind/>
    </w:pPr>
    <w:rPr>
      <w:i/>
    </w:rPr>
  </w:style>
  <w:style w:type="paragraph" w:styleId="705">
    <w:name w:val="Header"/>
    <w:basedOn w:val="673"/>
    <w:link w:val="706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06" w:customStyle="1">
    <w:name w:val="Верхний колонтитул Знак"/>
    <w:basedOn w:val="683"/>
    <w:link w:val="705"/>
    <w:uiPriority w:val="99"/>
    <w:pPr>
      <w:pBdr/>
      <w:spacing/>
      <w:ind/>
    </w:pPr>
  </w:style>
  <w:style w:type="paragraph" w:styleId="707">
    <w:name w:val="Footer"/>
    <w:basedOn w:val="673"/>
    <w:link w:val="710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08" w:customStyle="1">
    <w:name w:val="Footer Char"/>
    <w:basedOn w:val="683"/>
    <w:uiPriority w:val="99"/>
    <w:pPr>
      <w:pBdr/>
      <w:spacing/>
      <w:ind/>
    </w:pPr>
  </w:style>
  <w:style w:type="paragraph" w:styleId="709">
    <w:name w:val="Caption"/>
    <w:basedOn w:val="673"/>
    <w:next w:val="673"/>
    <w:uiPriority w:val="35"/>
    <w:semiHidden/>
    <w:unhideWhenUsed/>
    <w:qFormat/>
    <w:pPr>
      <w:pBdr/>
      <w:spacing w:line="276" w:lineRule="auto"/>
      <w:ind/>
    </w:pPr>
    <w:rPr>
      <w:b/>
      <w:bCs/>
      <w:color w:val="5b9bd5" w:themeColor="accent1"/>
      <w:sz w:val="18"/>
      <w:szCs w:val="18"/>
    </w:rPr>
  </w:style>
  <w:style w:type="character" w:styleId="710" w:customStyle="1">
    <w:name w:val="Нижний колонтитул Знак"/>
    <w:link w:val="707"/>
    <w:uiPriority w:val="99"/>
    <w:pPr>
      <w:pBdr/>
      <w:spacing/>
      <w:ind/>
    </w:pPr>
  </w:style>
  <w:style w:type="table" w:styleId="711" w:customStyle="1">
    <w:name w:val="Table Grid Light"/>
    <w:basedOn w:val="684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1"/>
    <w:basedOn w:val="684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2"/>
    <w:basedOn w:val="684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 w:customStyle="1">
    <w:name w:val="Grid Table 1 Light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Grid Table 1 Light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 w:customStyle="1">
    <w:name w:val="Grid Table 1 Light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 w:customStyle="1">
    <w:name w:val="Grid Table 1 Light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 w:customStyle="1">
    <w:name w:val="Grid Table 1 Light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 w:customStyle="1">
    <w:name w:val="Grid Table 1 Light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Grid Table 2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Grid Table 2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 w:customStyle="1">
    <w:name w:val="Grid Table 2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Grid Table 2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 w:customStyle="1">
    <w:name w:val="Grid Table 2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Grid Table 2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Grid Table 3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Grid Table 3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Grid Table 3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Grid Table 3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Grid Table 3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3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Grid Table 4 - Accent 1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4 - Accent 2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4 - Accent 3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4 - Accent 4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Grid Table 4 - Accent 5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4 - Accent 6"/>
    <w:basedOn w:val="68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5 Dark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5 Dark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5 Dark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5 Dark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Grid Table 5 Dark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5 Dark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6 Colorful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6 Colorful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6 Colorful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6 Colorful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6 Colorful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6 Colorful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7 Colorful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7 Colorful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7 Colorful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7 Colorful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7 Colorful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7 Colorful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List Table 1 Light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List Table 1 Light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List Table 1 Light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List Table 1 Light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List Table 1 Light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List Table 1 Light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List Table 2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st Table 2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List Table 2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List Table 2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List Table 2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List Table 2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List Table 3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st Table 3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st Table 3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st Table 3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List Table 3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3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List Table 4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4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4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4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List Table 4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4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5 Dark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5 Dark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5 Dark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5 Dark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st Table 5 Dark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5 Dark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6 Colorful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6 Colorful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6 Colorful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6 Colorful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6 Colorful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6 Colorful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7 Colorful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7 Colorful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7 Colorful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7 Colorful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7 Colorful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7 Colorful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ned - Accent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ned - Accent 1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ned - Accent 2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ned - Accent 3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ned - Accent 4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ned - Accent 5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ned - Accent 6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Bordered &amp; Lined - Accent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Bordered &amp; Lined - Accent 1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Bordered &amp; Lined - Accent 2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Bordered &amp; Lined - Accent 3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Bordered &amp; Lined - Accent 4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Bordered &amp; Lined - Accent 5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Bordered &amp; Lined - Accent 6"/>
    <w:basedOn w:val="684"/>
    <w:uiPriority w:val="99"/>
    <w:pPr>
      <w:pBdr/>
      <w:spacing w:after="0" w:line="240" w:lineRule="auto"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Bordered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Bordered - Accent 1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Bordered - Accent 2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Bordered - Accent 3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Bordered - Accent 4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Bordered - Accent 5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Bordered - Accent 6"/>
    <w:basedOn w:val="68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6">
    <w:name w:val="footnote text"/>
    <w:basedOn w:val="673"/>
    <w:link w:val="837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37" w:customStyle="1">
    <w:name w:val="Текст сноски Знак"/>
    <w:link w:val="836"/>
    <w:uiPriority w:val="99"/>
    <w:pPr>
      <w:pBdr/>
      <w:spacing/>
      <w:ind/>
    </w:pPr>
    <w:rPr>
      <w:sz w:val="18"/>
    </w:rPr>
  </w:style>
  <w:style w:type="character" w:styleId="838">
    <w:name w:val="footnote reference"/>
    <w:basedOn w:val="683"/>
    <w:uiPriority w:val="99"/>
    <w:unhideWhenUsed/>
    <w:pPr>
      <w:pBdr/>
      <w:spacing/>
      <w:ind/>
    </w:pPr>
    <w:rPr>
      <w:vertAlign w:val="superscript"/>
    </w:rPr>
  </w:style>
  <w:style w:type="paragraph" w:styleId="839">
    <w:name w:val="endnote text"/>
    <w:basedOn w:val="673"/>
    <w:link w:val="840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pPr>
      <w:pBdr/>
      <w:spacing/>
      <w:ind/>
    </w:pPr>
    <w:rPr>
      <w:sz w:val="20"/>
    </w:rPr>
  </w:style>
  <w:style w:type="character" w:styleId="841">
    <w:name w:val="endnote reference"/>
    <w:basedOn w:val="683"/>
    <w:uiPriority w:val="99"/>
    <w:semiHidden/>
    <w:unhideWhenUsed/>
    <w:pPr>
      <w:pBdr/>
      <w:spacing/>
      <w:ind/>
    </w:pPr>
    <w:rPr>
      <w:vertAlign w:val="superscript"/>
    </w:rPr>
  </w:style>
  <w:style w:type="paragraph" w:styleId="842">
    <w:name w:val="toc 1"/>
    <w:basedOn w:val="673"/>
    <w:next w:val="673"/>
    <w:uiPriority w:val="39"/>
    <w:unhideWhenUsed/>
    <w:pPr>
      <w:pBdr/>
      <w:spacing w:after="57"/>
      <w:ind/>
    </w:pPr>
  </w:style>
  <w:style w:type="paragraph" w:styleId="843">
    <w:name w:val="toc 2"/>
    <w:basedOn w:val="673"/>
    <w:next w:val="673"/>
    <w:uiPriority w:val="39"/>
    <w:unhideWhenUsed/>
    <w:pPr>
      <w:pBdr/>
      <w:spacing w:after="57"/>
      <w:ind w:left="283"/>
    </w:pPr>
  </w:style>
  <w:style w:type="paragraph" w:styleId="844">
    <w:name w:val="toc 3"/>
    <w:basedOn w:val="673"/>
    <w:next w:val="673"/>
    <w:uiPriority w:val="39"/>
    <w:unhideWhenUsed/>
    <w:pPr>
      <w:pBdr/>
      <w:spacing w:after="57"/>
      <w:ind w:left="567"/>
    </w:pPr>
  </w:style>
  <w:style w:type="paragraph" w:styleId="845">
    <w:name w:val="toc 4"/>
    <w:basedOn w:val="673"/>
    <w:next w:val="673"/>
    <w:uiPriority w:val="39"/>
    <w:unhideWhenUsed/>
    <w:pPr>
      <w:pBdr/>
      <w:spacing w:after="57"/>
      <w:ind w:left="850"/>
    </w:pPr>
  </w:style>
  <w:style w:type="paragraph" w:styleId="846">
    <w:name w:val="toc 5"/>
    <w:basedOn w:val="673"/>
    <w:next w:val="673"/>
    <w:uiPriority w:val="39"/>
    <w:unhideWhenUsed/>
    <w:pPr>
      <w:pBdr/>
      <w:spacing w:after="57"/>
      <w:ind w:left="1134"/>
    </w:pPr>
  </w:style>
  <w:style w:type="paragraph" w:styleId="847">
    <w:name w:val="toc 6"/>
    <w:basedOn w:val="673"/>
    <w:next w:val="673"/>
    <w:uiPriority w:val="39"/>
    <w:unhideWhenUsed/>
    <w:pPr>
      <w:pBdr/>
      <w:spacing w:after="57"/>
      <w:ind w:left="1417"/>
    </w:pPr>
  </w:style>
  <w:style w:type="paragraph" w:styleId="848">
    <w:name w:val="toc 7"/>
    <w:basedOn w:val="673"/>
    <w:next w:val="673"/>
    <w:uiPriority w:val="39"/>
    <w:unhideWhenUsed/>
    <w:pPr>
      <w:pBdr/>
      <w:spacing w:after="57"/>
      <w:ind w:left="1701"/>
    </w:pPr>
  </w:style>
  <w:style w:type="paragraph" w:styleId="849">
    <w:name w:val="toc 8"/>
    <w:basedOn w:val="673"/>
    <w:next w:val="673"/>
    <w:uiPriority w:val="39"/>
    <w:unhideWhenUsed/>
    <w:pPr>
      <w:pBdr/>
      <w:spacing w:after="57"/>
      <w:ind w:left="1984"/>
    </w:pPr>
  </w:style>
  <w:style w:type="paragraph" w:styleId="850">
    <w:name w:val="toc 9"/>
    <w:basedOn w:val="673"/>
    <w:next w:val="673"/>
    <w:uiPriority w:val="39"/>
    <w:unhideWhenUsed/>
    <w:pPr>
      <w:pBdr/>
      <w:spacing w:after="57"/>
      <w:ind w:left="2268"/>
    </w:pPr>
  </w:style>
  <w:style w:type="paragraph" w:styleId="851">
    <w:name w:val="TOC Heading"/>
    <w:uiPriority w:val="39"/>
    <w:unhideWhenUsed/>
    <w:pPr>
      <w:pBdr/>
      <w:spacing/>
      <w:ind/>
    </w:pPr>
  </w:style>
  <w:style w:type="paragraph" w:styleId="852">
    <w:name w:val="table of figures"/>
    <w:basedOn w:val="673"/>
    <w:next w:val="673"/>
    <w:uiPriority w:val="99"/>
    <w:unhideWhenUsed/>
    <w:pPr>
      <w:pBdr/>
      <w:spacing w:after="0"/>
      <w:ind/>
    </w:pPr>
  </w:style>
  <w:style w:type="character" w:styleId="853">
    <w:name w:val="Hyperlink"/>
    <w:basedOn w:val="683"/>
    <w:uiPriority w:val="99"/>
    <w:unhideWhenUsed/>
    <w:pPr>
      <w:pBdr/>
      <w:spacing/>
      <w:ind/>
    </w:pPr>
    <w:rPr>
      <w:color w:val="0563c1" w:themeColor="hyperlink"/>
      <w:u w:val="single"/>
    </w:rPr>
  </w:style>
  <w:style w:type="table" w:styleId="854">
    <w:name w:val="Table Grid"/>
    <w:basedOn w:val="684"/>
    <w:uiPriority w:val="59"/>
    <w:pPr>
      <w:pBdr/>
      <w:spacing w:after="0" w:line="240" w:lineRule="auto"/>
      <w:ind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5">
    <w:name w:val="Balloon Text"/>
    <w:basedOn w:val="673"/>
    <w:link w:val="856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856" w:customStyle="1">
    <w:name w:val="Текст выноски Знак"/>
    <w:basedOn w:val="683"/>
    <w:link w:val="855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hart" Target="charts/chart1.xml" /><Relationship Id="rId10" Type="http://schemas.openxmlformats.org/officeDocument/2006/relationships/chart" Target="charts/chart2.xml" /><Relationship Id="rId11" Type="http://schemas.openxmlformats.org/officeDocument/2006/relationships/chart" Target="charts/chart3.xml" /><Relationship Id="rId12" Type="http://schemas.openxmlformats.org/officeDocument/2006/relationships/chart" Target="charts/chart4.xml" /><Relationship Id="rId13" Type="http://schemas.openxmlformats.org/officeDocument/2006/relationships/chart" Target="charts/chart5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microsoft.com/office/2011/relationships/chartStyle" Target="style1.xml" /><Relationship Id="rId2" Type="http://schemas.microsoft.com/office/2011/relationships/chartColorStyle" Target="colors1.xml" /><Relationship Id="rId3" Type="http://schemas.openxmlformats.org/officeDocument/2006/relationships/package" Target="../embeddings/Microsoft_Excel_Worksheet1.xlsx" /></Relationships>
</file>

<file path=word/charts/_rels/chart2.xml.rels><?xml version="1.0" encoding="UTF-8" standalone="yes"?><Relationships xmlns="http://schemas.openxmlformats.org/package/2006/relationships"><Relationship Id="rId1" Type="http://schemas.microsoft.com/office/2011/relationships/chartStyle" Target="style2.xml" /><Relationship Id="rId2" Type="http://schemas.microsoft.com/office/2011/relationships/chartColorStyle" Target="colors2.xml" /><Relationship Id="rId3" Type="http://schemas.openxmlformats.org/officeDocument/2006/relationships/package" Target="../embeddings/Microsoft_Excel_Worksheet2.xlsx" /></Relationships>
</file>

<file path=word/charts/_rels/chart3.xml.rels><?xml version="1.0" encoding="UTF-8" standalone="yes"?><Relationships xmlns="http://schemas.openxmlformats.org/package/2006/relationships"><Relationship Id="rId1" Type="http://schemas.microsoft.com/office/2011/relationships/chartStyle" Target="style3.xml" /><Relationship Id="rId2" Type="http://schemas.microsoft.com/office/2011/relationships/chartColorStyle" Target="colors3.xml" /><Relationship Id="rId3" Type="http://schemas.openxmlformats.org/officeDocument/2006/relationships/package" Target="../embeddings/Microsoft_Excel_Worksheet3.xlsx" /></Relationships>
</file>

<file path=word/charts/_rels/chart4.xml.rels><?xml version="1.0" encoding="UTF-8" standalone="yes"?><Relationships xmlns="http://schemas.openxmlformats.org/package/2006/relationships"><Relationship Id="rId1" Type="http://schemas.microsoft.com/office/2011/relationships/chartStyle" Target="style4.xml" /><Relationship Id="rId2" Type="http://schemas.microsoft.com/office/2011/relationships/chartColorStyle" Target="colors4.xml" /><Relationship Id="rId3" Type="http://schemas.openxmlformats.org/officeDocument/2006/relationships/package" Target="../embeddings/Microsoft_Excel_Worksheet4.xlsx" /></Relationships>
</file>

<file path=word/charts/_rels/chart5.xml.rels><?xml version="1.0" encoding="UTF-8" standalone="yes"?><Relationships xmlns="http://schemas.openxmlformats.org/package/2006/relationships"><Relationship Id="rId1" Type="http://schemas.microsoft.com/office/2011/relationships/chartStyle" Target="style5.xml" /><Relationship Id="rId2" Type="http://schemas.microsoft.com/office/2011/relationships/chartColorStyle" Target="colors5.xml" /><Relationship Id="rId3" Type="http://schemas.openxmlformats.org/officeDocument/2006/relationships/package" Target="../embeddings/Microsoft_Excel_Worksheet5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spc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solidFill>
                  <a:srgbClr val="C00000"/>
                </a:solidFill>
              </a:rPr>
              <a:t>Количество письменных и устных обращений граждан</a:t>
            </a:r>
            <a:endParaRPr/>
          </a:p>
        </c:rich>
      </c:tx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spc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271</c:v>
                </c:pt>
                <c:pt idx="1">
                  <c:v>235</c:v>
                </c:pt>
                <c:pt idx="2">
                  <c:v>272</c:v>
                </c:pt>
                <c:pt idx="3">
                  <c:v>272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219"/>
        <c:overlap val="-27"/>
        <c:axId val="447440608"/>
        <c:axId val="447436672"/>
      </c:barChart>
      <c:catAx>
        <c:axId val="447440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1" i="0" u="none" strike="noStrike">
                <a:solidFill>
                  <a:srgbClr val="C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7436672"/>
        <c:crosses val="autoZero"/>
        <c:auto val="1"/>
        <c:lblAlgn val="ctr"/>
        <c:lblOffset val="100"/>
        <c:noMultiLvlLbl val="0"/>
      </c:catAx>
      <c:valAx>
        <c:axId val="447436672"/>
        <c:scaling>
          <c:orientation val="minMax"/>
          <c:max val="300.000000"/>
          <c:min val="0.000000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ln>
                  <a:noFill/>
                </a:ln>
                <a:solidFill>
                  <a:schemeClr val="tx1">
                    <a:alpha val="58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7440608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 bwMode="auto">
    <a:prstGeom prst="rect">
      <a:avLst/>
    </a:prstGeom>
    <a:gradFill>
      <a:gsLst>
        <a:gs pos="0">
          <a:schemeClr val="accent1">
            <a:lumMod val="5000"/>
            <a:lumOff val="95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spc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  <a:r>
              <a:rPr lang="ru-RU" sz="1800" b="1">
                <a:solidFill>
                  <a:srgbClr val="C00000"/>
                </a:solidFill>
              </a:rPr>
              <a:t>Количество личных приемов граждан</a:t>
            </a:r>
            <a:endParaRPr lang="en-US" sz="1800" b="1">
              <a:solidFill>
                <a:srgbClr val="C00000"/>
              </a:solidFill>
            </a:endParaRPr>
          </a:p>
        </c:rich>
      </c:tx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spc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081225"/>
          <c:y val="0.166568"/>
          <c:w val="0.897942"/>
          <c:h val="0.6506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90</c:v>
                </c:pt>
                <c:pt idx="1">
                  <c:v>102</c:v>
                </c:pt>
                <c:pt idx="2">
                  <c:v>131</c:v>
                </c:pt>
                <c:pt idx="3">
                  <c:v>82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219"/>
        <c:overlap val="-27"/>
        <c:axId val="519903448"/>
        <c:axId val="519905088"/>
      </c:barChart>
      <c:catAx>
        <c:axId val="519903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1" i="0" u="none" strike="noStrike">
                <a:solidFill>
                  <a:srgbClr val="C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9905088"/>
        <c:crosses val="autoZero"/>
        <c:auto val="1"/>
        <c:lblAlgn val="ctr"/>
        <c:lblOffset val="100"/>
        <c:noMultiLvlLbl val="0"/>
      </c:catAx>
      <c:valAx>
        <c:axId val="519905088"/>
        <c:scaling>
          <c:orientation val="minMax"/>
          <c:max val="150.000000"/>
          <c:min val="50.000000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9903448"/>
        <c:crosses val="autoZero"/>
        <c:crossBetween val="between"/>
        <c:majorUnit val="50.000000"/>
        <c:minorUnit val="10.000000"/>
      </c:valAx>
      <c:spPr bwMode="auto"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spc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C00000"/>
                </a:solidFill>
              </a:rPr>
              <a:t>Количество обращений, поступивших из Администрации Президента Российской Федерации, из Администрации Раиса Республики Татарстан, из Аппарата Кабинета Министров Республики Татарстан и из других республиканских министерств и ведомств</a:t>
            </a:r>
            <a:endParaRPr/>
          </a:p>
        </c:rich>
      </c:tx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spc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49</c:v>
                </c:pt>
                <c:pt idx="1">
                  <c:v>51</c:v>
                </c:pt>
                <c:pt idx="2">
                  <c:v>57</c:v>
                </c:pt>
                <c:pt idx="3">
                  <c:v>49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219"/>
        <c:overlap val="-26"/>
        <c:axId val="535427456"/>
        <c:axId val="535424832"/>
      </c:barChart>
      <c:catAx>
        <c:axId val="535427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>
                <a:solidFill>
                  <a:srgbClr val="C00000"/>
                </a:solidFill>
                <a:latin typeface="Calibri"/>
                <a:ea typeface="Arial"/>
                <a:cs typeface="Arial"/>
              </a:defRPr>
            </a:pPr>
            <a:endParaRPr lang="ru-RU"/>
          </a:p>
        </c:txPr>
        <c:crossAx val="535424832"/>
        <c:crosses val="autoZero"/>
        <c:auto val="1"/>
        <c:lblAlgn val="ctr"/>
        <c:lblOffset val="100"/>
        <c:noMultiLvlLbl val="0"/>
      </c:catAx>
      <c:valAx>
        <c:axId val="535424832"/>
        <c:scaling>
          <c:orientation val="minMax"/>
          <c:max val="100.000000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Calibri"/>
                <a:ea typeface="Arial"/>
                <a:cs typeface="Arial"/>
              </a:defRPr>
            </a:pPr>
            <a:endParaRPr lang="ru-RU"/>
          </a:p>
        </c:txPr>
        <c:crossAx val="535427456"/>
        <c:crosses val="autoZero"/>
        <c:crossBetween val="between"/>
        <c:majorUnit val="20.000000"/>
      </c:valAx>
      <c:spPr bwMode="auto"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 bwMode="auto">
    <a:xfrm>
      <a:off x="0" y="0"/>
      <a:ext cx="5486398" cy="3419473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spc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C00000"/>
                </a:solidFill>
              </a:rPr>
              <a:t>Количество обращений, поступивших в электронном виде</a:t>
            </a:r>
            <a:endParaRPr lang="ru-RU"/>
          </a:p>
        </c:rich>
      </c:tx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spc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64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76</c:v>
                </c:pt>
                <c:pt idx="1">
                  <c:v>88</c:v>
                </c:pt>
                <c:pt idx="2">
                  <c:v>64</c:v>
                </c:pt>
                <c:pt idx="3">
                  <c:v>76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219"/>
        <c:overlap val="-27"/>
        <c:axId val="535427784"/>
        <c:axId val="535422536"/>
      </c:barChart>
      <c:catAx>
        <c:axId val="535427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>
                <a:solidFill>
                  <a:srgbClr val="C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5422536"/>
        <c:crosses val="autoZero"/>
        <c:auto val="1"/>
        <c:lblAlgn val="ctr"/>
        <c:lblOffset val="100"/>
        <c:noMultiLvlLbl val="0"/>
      </c:catAx>
      <c:valAx>
        <c:axId val="535422536"/>
        <c:scaling>
          <c:orientation val="minMax"/>
          <c:max val="100.000000"/>
          <c:min val="0.000000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5427784"/>
        <c:crosses val="autoZero"/>
        <c:crossBetween val="between"/>
        <c:majorUnit val="20.000000"/>
      </c:valAx>
      <c:spPr bwMode="auto"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spc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C00000"/>
                </a:solidFill>
              </a:rPr>
              <a:t>Тематическая раскладка обращений граждан</a:t>
            </a:r>
            <a:endParaRPr lang="ru-RU"/>
          </a:p>
        </c:rich>
      </c:tx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spc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государство, общество, политика</c:v>
                </c:pt>
                <c:pt idx="1">
                  <c:v>Социальная сфера</c:v>
                </c:pt>
                <c:pt idx="2">
                  <c:v>Экономика</c:v>
                </c:pt>
                <c:pt idx="3">
                  <c:v>ЖКХ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53</c:v>
                </c:pt>
                <c:pt idx="1">
                  <c:v>47</c:v>
                </c:pt>
                <c:pt idx="2">
                  <c:v>85</c:v>
                </c:pt>
                <c:pt idx="3">
                  <c:v>59</c:v>
                </c:pt>
                <c:pt idx="4">
                  <c:v>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государство, общество, политика</c:v>
                </c:pt>
                <c:pt idx="1">
                  <c:v>Социальная сфера</c:v>
                </c:pt>
                <c:pt idx="2">
                  <c:v>Экономика</c:v>
                </c:pt>
                <c:pt idx="3">
                  <c:v>ЖКХ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55</c:v>
                </c:pt>
                <c:pt idx="1">
                  <c:v>46</c:v>
                </c:pt>
                <c:pt idx="2">
                  <c:v>125</c:v>
                </c:pt>
                <c:pt idx="3">
                  <c:v>65</c:v>
                </c:pt>
                <c:pt idx="4">
                  <c:v>9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219"/>
        <c:overlap val="-26"/>
        <c:axId val="671096416"/>
        <c:axId val="671093792"/>
      </c:barChart>
      <c:catAx>
        <c:axId val="671096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Calibri"/>
                <a:ea typeface="Arial"/>
                <a:cs typeface="Arial"/>
              </a:defRPr>
            </a:pPr>
            <a:endParaRPr lang="ru-RU"/>
          </a:p>
        </c:txPr>
        <c:crossAx val="671093792"/>
        <c:crosses val="autoZero"/>
        <c:auto val="1"/>
        <c:lblAlgn val="ctr"/>
        <c:lblOffset val="100"/>
        <c:noMultiLvlLbl val="0"/>
      </c:catAx>
      <c:valAx>
        <c:axId val="671093792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Calibri"/>
                <a:ea typeface="Arial"/>
                <a:cs typeface="Arial"/>
              </a:defRPr>
            </a:pPr>
            <a:endParaRPr lang="ru-RU"/>
          </a:p>
        </c:txPr>
        <c:crossAx val="671096416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legend>
      <c:legendPos val="b"/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 bwMode="auto">
    <a:xfrm>
      <a:off x="0" y="0"/>
      <a:ext cx="5486398" cy="3200398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 bwMode="auto">
      <a:prstGeom prst="rect">
        <a:avLst/>
      </a:prstGeom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/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 bwMode="auto">
      <a:prstGeom prst="rect">
        <a:avLst/>
      </a:prstGeom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/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/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 bwMode="auto">
      <a:prstGeom prst="rect">
        <a:avLst/>
      </a:prstGeom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/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/>
</cs:chartStyl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revision>65</cp:revision>
  <dcterms:created xsi:type="dcterms:W3CDTF">2024-01-10T11:07:00Z</dcterms:created>
  <dcterms:modified xsi:type="dcterms:W3CDTF">2026-06-16T08:15:05Z</dcterms:modified>
</cp:coreProperties>
</file>