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6A" w:rsidRDefault="00F67BBF" w:rsidP="00EC6B6A">
      <w:pPr>
        <w:pStyle w:val="2"/>
      </w:pPr>
      <w:r>
        <w:rPr>
          <w:sz w:val="32"/>
          <w:szCs w:val="32"/>
        </w:rPr>
        <w:t>24</w:t>
      </w:r>
      <w:r w:rsidR="001E0268" w:rsidRPr="00183357">
        <w:rPr>
          <w:sz w:val="32"/>
          <w:szCs w:val="32"/>
        </w:rPr>
        <w:t>.08.2016</w:t>
      </w:r>
      <w:r w:rsidR="000B571F" w:rsidRPr="00183357">
        <w:rPr>
          <w:sz w:val="32"/>
          <w:szCs w:val="32"/>
        </w:rPr>
        <w:t xml:space="preserve"> </w:t>
      </w:r>
      <w:r w:rsidR="001E0268" w:rsidRPr="00183357">
        <w:rPr>
          <w:sz w:val="32"/>
          <w:szCs w:val="32"/>
        </w:rPr>
        <w:t xml:space="preserve"> </w:t>
      </w:r>
      <w:r w:rsidR="00EC6B6A">
        <w:t>Что нужно знать правопреемнику пенсионных накоплений</w:t>
      </w:r>
    </w:p>
    <w:p w:rsidR="00EC6B6A" w:rsidRPr="00EC6B6A" w:rsidRDefault="00EC6B6A" w:rsidP="00EC6B6A"/>
    <w:p w:rsidR="00EC6B6A" w:rsidRPr="00F67BBF" w:rsidRDefault="00EC6B6A" w:rsidP="00EC6B6A">
      <w:pPr>
        <w:pStyle w:val="11"/>
      </w:pPr>
      <w:bookmarkStart w:id="0" w:name="_Toc459020846"/>
      <w:r w:rsidRPr="00F67BBF">
        <w:t xml:space="preserve">Правила обращения за выплатой средств пенсионных накоплений Обращение правопреемников за выплатой средств пенсионных накоплений осуществляется до истечения 6 месяцев со дня смерти застрахованного лица, путем подачи заявления по установленной форме в </w:t>
      </w:r>
      <w:bookmarkEnd w:id="0"/>
      <w:r w:rsidR="00ED31C8" w:rsidRPr="00F67BBF">
        <w:t>Управление ПФР по Камско-Устьинскому и Апастовскому районам РТ.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Срок для обращения с заявлением о выплате средств пенсионных накоплений может быть восстановлен в судебном порядке по заявлению правопреемника, пропустившего такой срок. Выплате подлежат только средства пенсионных накоплений, учтенные в специальной части индивидуального лицевого счета умершего застрахованного лица, если смерть застрахованного лица наступила до назначения ему накопительной </w:t>
      </w:r>
      <w:proofErr w:type="spellStart"/>
      <w:r w:rsidRPr="00F67BBF">
        <w:t>пенсииили</w:t>
      </w:r>
      <w:proofErr w:type="spellEnd"/>
      <w:r w:rsidRPr="00F67BBF">
        <w:t xml:space="preserve"> перерасчета размера этой части с учетом дополнительных пенсионных накоплений. </w:t>
      </w:r>
      <w:proofErr w:type="gramStart"/>
      <w:r w:rsidRPr="00F67BBF">
        <w:t xml:space="preserve">Накопительную </w:t>
      </w:r>
      <w:proofErr w:type="spellStart"/>
      <w:r w:rsidRPr="00F67BBF">
        <w:t>пенсиюимеют</w:t>
      </w:r>
      <w:proofErr w:type="spellEnd"/>
      <w:r w:rsidRPr="00F67BBF">
        <w:t xml:space="preserve"> следующие категории застрахованных лиц: мужчины 1953 года рождения и моложе; женщины 1957 года рождения и моложе; мужчины и женщины, производившие уплату добровольных страховых взносов в рамках программы государственного </w:t>
      </w:r>
      <w:proofErr w:type="spellStart"/>
      <w:r w:rsidRPr="00F67BBF">
        <w:t>софинансирования</w:t>
      </w:r>
      <w:proofErr w:type="spellEnd"/>
      <w:r w:rsidRPr="00F67BBF">
        <w:t>.</w:t>
      </w:r>
      <w:proofErr w:type="gramEnd"/>
    </w:p>
    <w:p w:rsidR="00EC6B6A" w:rsidRPr="00F67BBF" w:rsidRDefault="00EC6B6A" w:rsidP="00ED31C8">
      <w:pPr>
        <w:pStyle w:val="ab"/>
        <w:ind w:firstLine="567"/>
      </w:pPr>
      <w:r w:rsidRPr="00F67BBF">
        <w:t>Понятие «правопреемники» «Правопреемники по заявлению» — застрахованное лицо при жизни определяет круг своих правопреемников; «Правопреемники по закону» – застрахованное лицо при жизни не определило круг своих правопреемников.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Правопреемники по закону – получают средства пенсионных накоплений умершего застрахованного лица в следующей последовательности: </w:t>
      </w:r>
    </w:p>
    <w:p w:rsidR="00EC6B6A" w:rsidRPr="00F67BBF" w:rsidRDefault="00EC6B6A" w:rsidP="00ED31C8">
      <w:pPr>
        <w:pStyle w:val="ab"/>
        <w:ind w:firstLine="567"/>
      </w:pPr>
      <w:r w:rsidRPr="00F67BBF">
        <w:t>В первую очередь — супруг (супруга), родители (усыновители), дети, в том числе усыновленные.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Во вторую очередь – братья, сестры, бабушки, дедушки и внуки. Правопреемники второй очереди имеют право на получении средств пенсионных накоплений только при условии отсутствия правопреемников первой очереди. 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Перечень необходимых документов при подаче заявления о выплате (об отказе от выплаты) средств пенсионных накоплений: </w:t>
      </w:r>
    </w:p>
    <w:p w:rsidR="00EC6B6A" w:rsidRPr="00F67BBF" w:rsidRDefault="00EC6B6A" w:rsidP="00ED31C8">
      <w:pPr>
        <w:pStyle w:val="ab"/>
        <w:ind w:firstLine="567"/>
      </w:pPr>
      <w:r w:rsidRPr="00F67BBF">
        <w:t>Документ, удостоверяющий личность, возраст, место жительства правопреемника;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Документ, подтверждающий родственные отношения с умершим застрахованным лицом;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Документ, подтверждающий нотариальное удостоверенное полномочие представителя на подачу заявления;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Свидетельство о смерти застрахованного лица;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Страховое свидетельство обязательного (государственного) пенсионного страхования умершего застрахованного лица;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Банковские реквизиты для перечисления средств пенсионных накоплений;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Решение суда (если правопреемником пропущен 6-ти месячный срок);</w:t>
      </w:r>
    </w:p>
    <w:p w:rsidR="00EC6B6A" w:rsidRPr="00F67BBF" w:rsidRDefault="00EC6B6A" w:rsidP="00ED31C8">
      <w:pPr>
        <w:pStyle w:val="ab"/>
        <w:ind w:firstLine="567"/>
      </w:pPr>
      <w:r w:rsidRPr="00F67BBF">
        <w:t xml:space="preserve"> Другие документы (при необходимости). </w:t>
      </w:r>
    </w:p>
    <w:p w:rsidR="00EC6B6A" w:rsidRPr="00F67BBF" w:rsidRDefault="00EC6B6A" w:rsidP="00ED31C8">
      <w:pPr>
        <w:pStyle w:val="ab"/>
        <w:ind w:firstLine="567"/>
      </w:pPr>
      <w:r w:rsidRPr="00F67BBF">
        <w:lastRenderedPageBreak/>
        <w:t xml:space="preserve">К сведению! Информацию о порядке обращения за выплатой средств пенсионных накоплений можно узнать на сайте ПФР: www.pfrf.ru, в разделе «БУДУЩИЕ ПЕНСИОНЕРЫ» =&gt; «О ПЕНСИОННЫХ НАКОПЛЕНИЯХ» =&gt; «ВЫПЛАТА ПЕНСИОННЫХ НАКОПЛЕНИЙ ПРАВОПРЕЕМНИКАМ». </w:t>
      </w:r>
    </w:p>
    <w:p w:rsidR="00702702" w:rsidRPr="00336A78" w:rsidRDefault="00702702" w:rsidP="00EC6B6A">
      <w:pPr>
        <w:pStyle w:val="2"/>
      </w:pPr>
      <w:bookmarkStart w:id="1" w:name="_GoBack"/>
      <w:bookmarkEnd w:id="1"/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34" w:rsidRDefault="00C30F34">
      <w:r>
        <w:separator/>
      </w:r>
    </w:p>
  </w:endnote>
  <w:endnote w:type="continuationSeparator" w:id="0">
    <w:p w:rsidR="00C30F34" w:rsidRDefault="00C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34" w:rsidRDefault="00C30F34">
      <w:r>
        <w:separator/>
      </w:r>
    </w:p>
  </w:footnote>
  <w:footnote w:type="continuationSeparator" w:id="0">
    <w:p w:rsidR="00C30F34" w:rsidRDefault="00C30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3073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2016-08-09T05:33:00Z</cp:lastPrinted>
  <dcterms:created xsi:type="dcterms:W3CDTF">2016-08-15T13:09:00Z</dcterms:created>
  <dcterms:modified xsi:type="dcterms:W3CDTF">2016-08-23T05:31:00Z</dcterms:modified>
</cp:coreProperties>
</file>