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97" w:rsidRDefault="00227C97" w:rsidP="00227C97">
      <w:pPr>
        <w:pStyle w:val="2"/>
      </w:pPr>
      <w:r>
        <w:rPr>
          <w:sz w:val="28"/>
          <w:szCs w:val="28"/>
        </w:rPr>
        <w:t>06</w:t>
      </w:r>
      <w:r w:rsidR="00C379A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C379A7">
        <w:rPr>
          <w:sz w:val="28"/>
          <w:szCs w:val="28"/>
        </w:rPr>
        <w:t xml:space="preserve">.2016 </w:t>
      </w:r>
      <w:r>
        <w:t>Легализация трудовых отношений – основа для надежной защиты трудовых и пенсионных прав граждан</w:t>
      </w:r>
    </w:p>
    <w:p w:rsidR="00227C97" w:rsidRDefault="00227C97" w:rsidP="00227C97">
      <w:pPr>
        <w:pStyle w:val="11"/>
      </w:pPr>
      <w:bookmarkStart w:id="0" w:name="_Toc463425868"/>
      <w:r>
        <w:t>Легализация трудовых отношений – основа для надежной защиты трудовых и пенсионных прав граждан</w:t>
      </w:r>
      <w:bookmarkEnd w:id="0"/>
      <w:r>
        <w:t xml:space="preserve"> </w:t>
      </w:r>
    </w:p>
    <w:p w:rsidR="00227C97" w:rsidRPr="00227C97" w:rsidRDefault="00227C97" w:rsidP="00227C97">
      <w:pPr>
        <w:pStyle w:val="ab"/>
        <w:ind w:firstLine="567"/>
      </w:pPr>
      <w:r w:rsidRPr="00227C97">
        <w:t xml:space="preserve">УПФР по Камско-Устьинскому и Апастовскому районам РТ напоминает, что если Вы работаете неофициально и получаете заработную плату в конвертах, то работодатель не отчисляет за Вас страховые взносы в ПФР. </w:t>
      </w:r>
    </w:p>
    <w:p w:rsidR="00227C97" w:rsidRPr="00227C97" w:rsidRDefault="00227C97" w:rsidP="00227C97">
      <w:pPr>
        <w:pStyle w:val="ab"/>
        <w:ind w:firstLine="567"/>
      </w:pPr>
      <w:r w:rsidRPr="00227C97">
        <w:t xml:space="preserve">Эти действия приводят к негативным последствиям для работников. Помимо того, что работник, не заключивший трудовой договор, теряет право на социальные выплаты в настоящее время, в будущем он не сможет рассчитывать на достойную пенсию. </w:t>
      </w:r>
    </w:p>
    <w:p w:rsidR="00227C97" w:rsidRPr="00227C97" w:rsidRDefault="00227C97" w:rsidP="00227C97">
      <w:pPr>
        <w:pStyle w:val="ab"/>
        <w:ind w:firstLine="567"/>
      </w:pPr>
      <w:r w:rsidRPr="00227C97">
        <w:t xml:space="preserve">Работодатель же, нарушивший трудовое законодательство и допустивший работников к работе без оформления трудового договора, не только уклоняется от уплаты страховых взносов в Пенсионный фонд, но ущемляет и нарушает законные права своих сотрудников. </w:t>
      </w:r>
    </w:p>
    <w:p w:rsidR="00227C97" w:rsidRPr="00227C97" w:rsidRDefault="00227C97" w:rsidP="00227C97">
      <w:pPr>
        <w:pStyle w:val="ab"/>
        <w:ind w:firstLine="567"/>
      </w:pPr>
      <w:r w:rsidRPr="00227C97">
        <w:t xml:space="preserve">Все сведения об уплаченных страховых взносах отражаются на индивидуальном лицевом счете гражданина. Получить выписку с лицевого счета застрахованного лица можно несколькими способами: </w:t>
      </w:r>
    </w:p>
    <w:p w:rsidR="00227C97" w:rsidRPr="00227C97" w:rsidRDefault="00227C97" w:rsidP="00227C97">
      <w:pPr>
        <w:pStyle w:val="ab"/>
        <w:ind w:firstLine="567"/>
      </w:pPr>
      <w:r w:rsidRPr="00227C97">
        <w:t xml:space="preserve">· через портал </w:t>
      </w:r>
      <w:proofErr w:type="spellStart"/>
      <w:r w:rsidRPr="00227C97">
        <w:t>Госуслуг</w:t>
      </w:r>
      <w:proofErr w:type="spellEnd"/>
      <w:r w:rsidRPr="00227C97">
        <w:t xml:space="preserve">; </w:t>
      </w:r>
    </w:p>
    <w:p w:rsidR="00227C97" w:rsidRPr="00227C97" w:rsidRDefault="00227C97" w:rsidP="00227C97">
      <w:pPr>
        <w:pStyle w:val="ab"/>
        <w:ind w:firstLine="567"/>
      </w:pPr>
      <w:r w:rsidRPr="00227C97">
        <w:t xml:space="preserve">· на сайте ПФР в Личном кабинете гражданина; </w:t>
      </w:r>
    </w:p>
    <w:p w:rsidR="00227C97" w:rsidRPr="00227C97" w:rsidRDefault="00227C97" w:rsidP="00227C97">
      <w:pPr>
        <w:pStyle w:val="ab"/>
        <w:ind w:firstLine="567"/>
      </w:pPr>
      <w:r w:rsidRPr="00227C97">
        <w:t xml:space="preserve">· лично обратившись в территориальные службы ПФР с заявлением о получении выписки; </w:t>
      </w:r>
    </w:p>
    <w:p w:rsidR="00227C97" w:rsidRPr="00227C97" w:rsidRDefault="00227C97" w:rsidP="00227C97">
      <w:pPr>
        <w:pStyle w:val="ab"/>
        <w:ind w:firstLine="567"/>
      </w:pPr>
      <w:r w:rsidRPr="00227C97">
        <w:t>Напоминаем, что во всех территориальных органах ПФР и в Отделении ПФР организована работа телефонов доверия по фактам выплаты «серой» заработной платы или заработной платы ниже прожиточного минимума, установленного в регионе. Телефоны размещены на сайте www.pfrf.ru.</w:t>
      </w:r>
    </w:p>
    <w:p w:rsidR="00227C97" w:rsidRDefault="00227C97" w:rsidP="00227C9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</w:t>
      </w:r>
    </w:p>
    <w:p w:rsidR="00FB58AE" w:rsidRPr="00FB58AE" w:rsidRDefault="00227C97" w:rsidP="00227C9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</w:t>
      </w:r>
      <w:bookmarkStart w:id="1" w:name="_GoBack"/>
      <w:bookmarkEnd w:id="1"/>
      <w:r w:rsidR="0000223D">
        <w:t xml:space="preserve">И.И. </w:t>
      </w:r>
      <w:proofErr w:type="spellStart"/>
      <w:r w:rsidR="0000223D">
        <w:t>Гильмутдинов</w:t>
      </w:r>
      <w:proofErr w:type="spellEnd"/>
      <w:r w:rsidR="0000223D"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F1" w:rsidRDefault="00DB2BF1">
      <w:r>
        <w:separator/>
      </w:r>
    </w:p>
  </w:endnote>
  <w:endnote w:type="continuationSeparator" w:id="0">
    <w:p w:rsidR="00DB2BF1" w:rsidRDefault="00DB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F1" w:rsidRDefault="00DB2BF1">
      <w:r>
        <w:separator/>
      </w:r>
    </w:p>
  </w:footnote>
  <w:footnote w:type="continuationSeparator" w:id="0">
    <w:p w:rsidR="00DB2BF1" w:rsidRDefault="00DB2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4DF62A7F"/>
    <w:multiLevelType w:val="hybridMultilevel"/>
    <w:tmpl w:val="FAB82D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24CCE"/>
    <w:rsid w:val="001320F8"/>
    <w:rsid w:val="00144B02"/>
    <w:rsid w:val="001721D9"/>
    <w:rsid w:val="00183357"/>
    <w:rsid w:val="001A4412"/>
    <w:rsid w:val="001B098B"/>
    <w:rsid w:val="001E0268"/>
    <w:rsid w:val="001E30F9"/>
    <w:rsid w:val="00201251"/>
    <w:rsid w:val="002100EE"/>
    <w:rsid w:val="00227C97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394B"/>
    <w:rsid w:val="003273B7"/>
    <w:rsid w:val="00336A78"/>
    <w:rsid w:val="0034279B"/>
    <w:rsid w:val="003454A7"/>
    <w:rsid w:val="00353965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120"/>
    <w:rsid w:val="006843D3"/>
    <w:rsid w:val="006E18B8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27C58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7670"/>
    <w:rsid w:val="00BF2203"/>
    <w:rsid w:val="00C12716"/>
    <w:rsid w:val="00C13B3E"/>
    <w:rsid w:val="00C174C0"/>
    <w:rsid w:val="00C202AD"/>
    <w:rsid w:val="00C24E1C"/>
    <w:rsid w:val="00C30F34"/>
    <w:rsid w:val="00C31FD6"/>
    <w:rsid w:val="00C379A7"/>
    <w:rsid w:val="00C86A34"/>
    <w:rsid w:val="00C94A06"/>
    <w:rsid w:val="00CA26E7"/>
    <w:rsid w:val="00CA68C6"/>
    <w:rsid w:val="00CF5C6D"/>
    <w:rsid w:val="00D0359F"/>
    <w:rsid w:val="00D12AD5"/>
    <w:rsid w:val="00D16CAD"/>
    <w:rsid w:val="00D7349E"/>
    <w:rsid w:val="00D772EB"/>
    <w:rsid w:val="00D90D45"/>
    <w:rsid w:val="00DB2BF1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6B6A"/>
    <w:rsid w:val="00EC719F"/>
    <w:rsid w:val="00ED31C8"/>
    <w:rsid w:val="00EE6391"/>
    <w:rsid w:val="00F111B4"/>
    <w:rsid w:val="00F44858"/>
    <w:rsid w:val="00F468B9"/>
    <w:rsid w:val="00F5581F"/>
    <w:rsid w:val="00F617B0"/>
    <w:rsid w:val="00F66A08"/>
    <w:rsid w:val="00F67BBF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2069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2016-09-01T07:48:00Z</cp:lastPrinted>
  <dcterms:created xsi:type="dcterms:W3CDTF">2016-10-06T12:27:00Z</dcterms:created>
  <dcterms:modified xsi:type="dcterms:W3CDTF">2016-10-06T12:27:00Z</dcterms:modified>
</cp:coreProperties>
</file>